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1E331B85" w:rsidR="00A160B2" w:rsidRDefault="00BE44C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3 March</w:t>
            </w:r>
            <w:r w:rsidR="00CE4DD2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2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6BEC350F" w14:textId="77777777" w:rsidR="00A160B2" w:rsidRDefault="000551DE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Pensions Administration Update to 3</w:t>
            </w:r>
            <w:r w:rsidR="00BE44C6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BE44C6">
              <w:rPr>
                <w:rFonts w:cs="Arial"/>
              </w:rPr>
              <w:t>Dec</w:t>
            </w:r>
            <w:r w:rsidR="0018092C">
              <w:rPr>
                <w:rFonts w:cs="Arial"/>
              </w:rPr>
              <w:t>ember</w:t>
            </w:r>
            <w:r w:rsidR="0075787A">
              <w:rPr>
                <w:rFonts w:cs="Arial"/>
              </w:rPr>
              <w:t xml:space="preserve"> 2021</w:t>
            </w:r>
          </w:p>
          <w:p w14:paraId="5914456E" w14:textId="62AEEDF8" w:rsidR="008655A8" w:rsidRDefault="008655A8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975E852" w14:textId="77777777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CF266C9" w14:textId="5FBC64DA" w:rsidR="008655A8" w:rsidRDefault="008655A8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5CCCC410" w:rsidR="00A160B2" w:rsidRPr="00AD50C6" w:rsidRDefault="00367CCA" w:rsidP="006C3150">
            <w:pPr>
              <w:pStyle w:val="Infotext"/>
              <w:rPr>
                <w:bCs/>
              </w:rPr>
            </w:pPr>
            <w:r w:rsidRPr="00AD50C6">
              <w:rPr>
                <w:rFonts w:cs="Arial"/>
                <w:bCs/>
                <w:szCs w:val="24"/>
              </w:rPr>
              <w:t>Not applicable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2AE2A9A3" w14:textId="77777777" w:rsidR="00A160B2" w:rsidRDefault="000551DE" w:rsidP="006C3150">
            <w:pPr>
              <w:pStyle w:val="Infotext"/>
            </w:pPr>
            <w:r>
              <w:t xml:space="preserve">Appendix 1: Pension Administration Performance Monitoring to </w:t>
            </w:r>
            <w:r w:rsidR="00BE44C6">
              <w:t>31 December</w:t>
            </w:r>
            <w:r w:rsidR="0075787A">
              <w:t xml:space="preserve"> 2021</w:t>
            </w:r>
          </w:p>
          <w:p w14:paraId="4C232B02" w14:textId="3973CF40" w:rsidR="008655A8" w:rsidRDefault="008655A8" w:rsidP="006C3150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61D996FD" w:rsidR="00A160B2" w:rsidRDefault="000551DE" w:rsidP="00A160B2">
            <w:r w:rsidRPr="005F307D">
              <w:rPr>
                <w:szCs w:val="24"/>
              </w:rPr>
              <w:t>This report summarises the performance of the Pensions Administration team for the quarter ended</w:t>
            </w:r>
            <w:r>
              <w:rPr>
                <w:szCs w:val="24"/>
              </w:rPr>
              <w:t xml:space="preserve"> 3</w:t>
            </w:r>
            <w:r w:rsidR="00BE44C6">
              <w:rPr>
                <w:szCs w:val="24"/>
              </w:rPr>
              <w:t>1 December</w:t>
            </w:r>
            <w:r w:rsidR="00587BBB">
              <w:rPr>
                <w:szCs w:val="24"/>
              </w:rPr>
              <w:t xml:space="preserve"> 2021</w:t>
            </w:r>
            <w:r w:rsidR="00FC6D76">
              <w:rPr>
                <w:szCs w:val="24"/>
              </w:rPr>
              <w:t xml:space="preserve"> </w:t>
            </w:r>
            <w:r w:rsidR="00536C53">
              <w:rPr>
                <w:szCs w:val="24"/>
              </w:rPr>
              <w:t xml:space="preserve">and updates the Board in respect of </w:t>
            </w:r>
            <w:r w:rsidR="0018092C">
              <w:rPr>
                <w:szCs w:val="24"/>
              </w:rPr>
              <w:t>a number of other items</w:t>
            </w:r>
            <w:r w:rsidR="0075614B">
              <w:t>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6DF71807" w:rsidR="00A160B2" w:rsidRDefault="00A360D6" w:rsidP="00A160B2">
            <w:r>
              <w:t xml:space="preserve">The Board is requested to </w:t>
            </w:r>
            <w:r w:rsidR="000551DE">
              <w:t>note the report</w:t>
            </w:r>
            <w:r w:rsidR="0075614B">
              <w:t xml:space="preserve">. </w:t>
            </w:r>
          </w:p>
        </w:tc>
      </w:tr>
    </w:tbl>
    <w:p w14:paraId="53DC7DE2" w14:textId="54928E75" w:rsidR="002A2389" w:rsidRDefault="002A2389" w:rsidP="00A160B2">
      <w:pPr>
        <w:pStyle w:val="Heading2"/>
      </w:pPr>
      <w:r>
        <w:t>Section 2 – Report</w:t>
      </w:r>
    </w:p>
    <w:p w14:paraId="156FF9D8" w14:textId="77777777" w:rsidR="008655A8" w:rsidRPr="008655A8" w:rsidRDefault="008655A8" w:rsidP="008655A8"/>
    <w:p w14:paraId="46EC2B51" w14:textId="55F326ED" w:rsidR="000551DE" w:rsidRDefault="000551DE" w:rsidP="000551DE">
      <w:pPr>
        <w:numPr>
          <w:ilvl w:val="0"/>
          <w:numId w:val="16"/>
        </w:numPr>
        <w:jc w:val="both"/>
      </w:pPr>
      <w:r w:rsidRPr="009248D8">
        <w:t xml:space="preserve">Monitoring the service performance of the Fund is a key responsibility of the Board. The Board has been monitoring comparative pensions administration indicators since June 2017.  </w:t>
      </w:r>
      <w:r>
        <w:t>This report provides information on performance to 3</w:t>
      </w:r>
      <w:r w:rsidR="00BE44C6">
        <w:t>1 December</w:t>
      </w:r>
      <w:r w:rsidR="00587BBB">
        <w:t xml:space="preserve"> 2021</w:t>
      </w:r>
      <w:r>
        <w:t>.</w:t>
      </w:r>
    </w:p>
    <w:p w14:paraId="51670173" w14:textId="77777777" w:rsidR="000551DE" w:rsidRDefault="000551DE" w:rsidP="000551DE">
      <w:pPr>
        <w:ind w:left="720"/>
        <w:jc w:val="both"/>
      </w:pPr>
    </w:p>
    <w:p w14:paraId="48D46F27" w14:textId="55D132DD" w:rsidR="000551DE" w:rsidRDefault="000551DE" w:rsidP="000551DE">
      <w:pPr>
        <w:numPr>
          <w:ilvl w:val="0"/>
          <w:numId w:val="16"/>
        </w:numPr>
        <w:jc w:val="both"/>
      </w:pPr>
      <w:r>
        <w:t xml:space="preserve">The </w:t>
      </w:r>
      <w:r w:rsidR="00FC6D76">
        <w:t>p</w:t>
      </w:r>
      <w:r>
        <w:t xml:space="preserve">ensions administration performance statistics measured against the national benchmarks for the Quarter to </w:t>
      </w:r>
      <w:r w:rsidR="00953FF1">
        <w:t>3</w:t>
      </w:r>
      <w:r w:rsidR="00BE44C6">
        <w:t>1 Dec</w:t>
      </w:r>
      <w:r w:rsidR="002A66B4">
        <w:t>ember</w:t>
      </w:r>
      <w:r w:rsidR="00587BBB">
        <w:t xml:space="preserve"> 2021</w:t>
      </w:r>
      <w:r>
        <w:t xml:space="preserve"> are set out in Appendix 1.</w:t>
      </w:r>
      <w:r w:rsidR="005A293A">
        <w:t xml:space="preserve"> </w:t>
      </w:r>
      <w:r w:rsidR="002A66B4">
        <w:t xml:space="preserve">The numbers of cases have been </w:t>
      </w:r>
      <w:r w:rsidR="00BE44C6">
        <w:t xml:space="preserve">included in </w:t>
      </w:r>
      <w:r w:rsidR="002A66B4">
        <w:t>the table to provide further contextual information about performance</w:t>
      </w:r>
      <w:r w:rsidR="00DE34A4">
        <w:t xml:space="preserve">. </w:t>
      </w:r>
      <w:r>
        <w:t>The Board is invited to comment on this performance.</w:t>
      </w:r>
    </w:p>
    <w:p w14:paraId="7A5F4F91" w14:textId="77777777" w:rsidR="000551DE" w:rsidRDefault="000551DE" w:rsidP="000551DE">
      <w:pPr>
        <w:pStyle w:val="ListParagraph"/>
      </w:pPr>
    </w:p>
    <w:p w14:paraId="0AE587B7" w14:textId="55E9E0F7" w:rsidR="000551DE" w:rsidRDefault="000551DE" w:rsidP="000551DE">
      <w:pPr>
        <w:numPr>
          <w:ilvl w:val="0"/>
          <w:numId w:val="16"/>
        </w:numPr>
        <w:jc w:val="both"/>
      </w:pPr>
      <w:r>
        <w:t xml:space="preserve">Table 1 below sets out the membership of the Pension Fund in the current year </w:t>
      </w:r>
      <w:r w:rsidR="00BE44C6">
        <w:t>at</w:t>
      </w:r>
      <w:r>
        <w:t xml:space="preserve"> 3</w:t>
      </w:r>
      <w:r w:rsidR="00BE44C6">
        <w:t xml:space="preserve">1 December </w:t>
      </w:r>
      <w:r w:rsidR="00587BBB">
        <w:t>2021</w:t>
      </w:r>
      <w:r>
        <w:t xml:space="preserve">, with previous years </w:t>
      </w:r>
      <w:r w:rsidR="00BE44C6">
        <w:t>at</w:t>
      </w:r>
      <w:r>
        <w:t xml:space="preserve"> 31 March as a comparator. The percentage of active members in the fund is one indicator of the maturity of the fund.</w:t>
      </w:r>
    </w:p>
    <w:p w14:paraId="22943200" w14:textId="77777777" w:rsidR="000551DE" w:rsidRDefault="000551DE" w:rsidP="000551DE">
      <w:pPr>
        <w:jc w:val="both"/>
      </w:pPr>
    </w:p>
    <w:tbl>
      <w:tblPr>
        <w:tblW w:w="0" w:type="auto"/>
        <w:tblInd w:w="381" w:type="dxa"/>
        <w:tblLook w:val="04A0" w:firstRow="1" w:lastRow="0" w:firstColumn="1" w:lastColumn="0" w:noHBand="0" w:noVBand="1"/>
      </w:tblPr>
      <w:tblGrid>
        <w:gridCol w:w="1318"/>
        <w:gridCol w:w="1273"/>
        <w:gridCol w:w="1418"/>
        <w:gridCol w:w="1524"/>
        <w:gridCol w:w="1946"/>
        <w:gridCol w:w="222"/>
        <w:gridCol w:w="222"/>
      </w:tblGrid>
      <w:tr w:rsidR="000551DE" w14:paraId="38C30867" w14:textId="77777777" w:rsidTr="00FC33FC">
        <w:trPr>
          <w:trHeight w:val="28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FE85" w14:textId="5AC1584D" w:rsidR="000551DE" w:rsidRDefault="000551DE" w:rsidP="00FC33FC">
            <w:r>
              <w:t>Table 1                Pension Members to 3</w:t>
            </w:r>
            <w:r w:rsidR="00BE44C6">
              <w:t>1 Dec</w:t>
            </w:r>
            <w:r w:rsidR="002A66B4">
              <w:t>ember</w:t>
            </w:r>
            <w:r w:rsidR="00953FF1">
              <w:t xml:space="preserve"> 2021</w:t>
            </w:r>
          </w:p>
        </w:tc>
        <w:tc>
          <w:tcPr>
            <w:tcW w:w="0" w:type="auto"/>
          </w:tcPr>
          <w:p w14:paraId="338709F6" w14:textId="77777777" w:rsidR="000551DE" w:rsidRDefault="000551DE" w:rsidP="00FC33FC"/>
        </w:tc>
        <w:tc>
          <w:tcPr>
            <w:tcW w:w="0" w:type="auto"/>
          </w:tcPr>
          <w:p w14:paraId="5E95ED72" w14:textId="77777777" w:rsidR="000551DE" w:rsidRDefault="000551DE" w:rsidP="00FC33FC"/>
        </w:tc>
      </w:tr>
      <w:tr w:rsidR="000551DE" w:rsidRPr="00FC6D76" w14:paraId="7E828D5D" w14:textId="77777777" w:rsidTr="00FC6D76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263707" w14:textId="77777777" w:rsidR="000551DE" w:rsidRDefault="000551DE" w:rsidP="00FC33FC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8B1" w14:textId="6B92A14E" w:rsidR="000551DE" w:rsidRPr="00FC6D76" w:rsidRDefault="000551DE" w:rsidP="00FC33FC">
            <w:pPr>
              <w:jc w:val="center"/>
            </w:pPr>
            <w:r w:rsidRPr="00FC6D76">
              <w:t>31 March 201</w:t>
            </w:r>
            <w:r w:rsidR="00953FF1" w:rsidRPr="00FC6D7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ACD47" w14:textId="14CDA869" w:rsidR="000551DE" w:rsidRPr="00FC6D76" w:rsidRDefault="000551DE" w:rsidP="00FC33FC">
            <w:pPr>
              <w:jc w:val="center"/>
            </w:pPr>
            <w:r w:rsidRPr="00FC6D76">
              <w:t>31 March 20</w:t>
            </w:r>
            <w:r w:rsidR="00953FF1" w:rsidRPr="00FC6D76"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1E181" w14:textId="5B0B31C5" w:rsidR="000551DE" w:rsidRPr="00FC6D76" w:rsidRDefault="000551DE" w:rsidP="00FC33FC">
            <w:pPr>
              <w:jc w:val="center"/>
            </w:pPr>
            <w:r w:rsidRPr="00FC6D76">
              <w:t xml:space="preserve">31 March </w:t>
            </w:r>
            <w:r w:rsidR="00953FF1" w:rsidRPr="00FC6D76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4E9A" w14:textId="2132A50F" w:rsidR="00587BBB" w:rsidRPr="00FC6D76" w:rsidRDefault="000551DE" w:rsidP="00587BBB">
            <w:pPr>
              <w:jc w:val="center"/>
            </w:pPr>
            <w:r w:rsidRPr="00FC6D76">
              <w:t>3</w:t>
            </w:r>
            <w:r w:rsidR="00BE44C6">
              <w:t>1 Dec</w:t>
            </w:r>
            <w:r w:rsidR="002A66B4">
              <w:t>ember</w:t>
            </w:r>
            <w:r w:rsidR="00587BBB" w:rsidRPr="00FC6D76">
              <w:t xml:space="preserve"> </w:t>
            </w:r>
          </w:p>
          <w:p w14:paraId="398226E7" w14:textId="562DC9E6" w:rsidR="000551DE" w:rsidRPr="00FC6D76" w:rsidRDefault="00587BBB" w:rsidP="00587BBB">
            <w:pPr>
              <w:jc w:val="center"/>
            </w:pPr>
            <w:r w:rsidRPr="00FC6D76">
              <w:t>2021</w:t>
            </w:r>
          </w:p>
        </w:tc>
        <w:tc>
          <w:tcPr>
            <w:tcW w:w="0" w:type="auto"/>
            <w:vAlign w:val="bottom"/>
          </w:tcPr>
          <w:p w14:paraId="511B4395" w14:textId="77777777" w:rsidR="000551DE" w:rsidRPr="00FC6D76" w:rsidRDefault="000551DE" w:rsidP="00FC33F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DFC98E7" w14:textId="77777777" w:rsidR="000551DE" w:rsidRPr="00FC6D76" w:rsidRDefault="000551DE" w:rsidP="00FC33F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3FF1" w:rsidRPr="00FC6D76" w14:paraId="767C9BC4" w14:textId="77777777" w:rsidTr="00FC6D76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1761282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 xml:space="preserve">Pensioners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B0EA74" w14:textId="110CD10D" w:rsidR="00953FF1" w:rsidRPr="00FC6D76" w:rsidRDefault="00953FF1" w:rsidP="00953FF1">
            <w:pPr>
              <w:jc w:val="center"/>
            </w:pPr>
            <w:r w:rsidRPr="00FC6D76">
              <w:t>5,795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31F4D43" w14:textId="75A91E78" w:rsidR="00953FF1" w:rsidRPr="00FC6D76" w:rsidRDefault="00953FF1" w:rsidP="00953FF1">
            <w:pPr>
              <w:jc w:val="center"/>
            </w:pPr>
            <w:r w:rsidRPr="00FC6D76">
              <w:t>6,004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2E3FD7A" w14:textId="32675624" w:rsidR="00953FF1" w:rsidRPr="00FC6D76" w:rsidRDefault="00953FF1" w:rsidP="00953FF1">
            <w:pPr>
              <w:jc w:val="center"/>
            </w:pPr>
            <w:r w:rsidRPr="00FC6D76">
              <w:t>6,196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FE7CB" w14:textId="00128E35" w:rsidR="00953FF1" w:rsidRPr="00FC6D76" w:rsidRDefault="00D41527" w:rsidP="00953FF1">
            <w:pPr>
              <w:jc w:val="center"/>
            </w:pPr>
            <w:r w:rsidRPr="00FC6D76">
              <w:t>6,</w:t>
            </w:r>
            <w:r w:rsidR="00BE44C6">
              <w:t>420</w:t>
            </w:r>
          </w:p>
        </w:tc>
        <w:tc>
          <w:tcPr>
            <w:tcW w:w="0" w:type="auto"/>
            <w:vAlign w:val="center"/>
            <w:hideMark/>
          </w:tcPr>
          <w:p w14:paraId="78EC329B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5E58AD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:rsidRPr="00FC6D76" w14:paraId="02BA9211" w14:textId="77777777" w:rsidTr="00FC6D76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70B3E1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Deferred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B17402" w14:textId="65003658" w:rsidR="00953FF1" w:rsidRPr="00FC6D76" w:rsidRDefault="00953FF1" w:rsidP="00953FF1">
            <w:pPr>
              <w:jc w:val="center"/>
            </w:pPr>
            <w:r w:rsidRPr="00FC6D76">
              <w:t>6,966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BC768D" w14:textId="2CA8CBED" w:rsidR="00953FF1" w:rsidRPr="00FC6D76" w:rsidRDefault="00953FF1" w:rsidP="00953FF1">
            <w:pPr>
              <w:jc w:val="center"/>
            </w:pPr>
            <w:r w:rsidRPr="00FC6D76">
              <w:t>7,037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1CC296" w14:textId="2A5ADAF0" w:rsidR="00953FF1" w:rsidRPr="00FC6D76" w:rsidRDefault="00953FF1" w:rsidP="00953FF1">
            <w:pPr>
              <w:jc w:val="center"/>
            </w:pPr>
            <w:r w:rsidRPr="00FC6D76">
              <w:t>7,033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1B349" w14:textId="65AB2066" w:rsidR="00953FF1" w:rsidRPr="00FC6D76" w:rsidRDefault="00D41527" w:rsidP="00953FF1">
            <w:pPr>
              <w:jc w:val="center"/>
            </w:pPr>
            <w:r w:rsidRPr="00FC6D76">
              <w:t>6,9</w:t>
            </w:r>
            <w:r w:rsidR="00BE44C6">
              <w:t>65</w:t>
            </w:r>
          </w:p>
        </w:tc>
        <w:tc>
          <w:tcPr>
            <w:tcW w:w="0" w:type="auto"/>
            <w:vAlign w:val="center"/>
            <w:hideMark/>
          </w:tcPr>
          <w:p w14:paraId="3B27B33D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13FC14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:rsidRPr="00FC6D76" w14:paraId="01E6D08E" w14:textId="77777777" w:rsidTr="00FC6D76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8240F6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Active Members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02EC59" w14:textId="11B18E59" w:rsidR="00953FF1" w:rsidRPr="00FC6D76" w:rsidRDefault="00953FF1" w:rsidP="00953FF1">
            <w:pPr>
              <w:jc w:val="center"/>
            </w:pPr>
            <w:r w:rsidRPr="00FC6D76">
              <w:t>5,400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31C7AE" w14:textId="4A001700" w:rsidR="00953FF1" w:rsidRPr="00FC6D76" w:rsidRDefault="00953FF1" w:rsidP="00953FF1">
            <w:pPr>
              <w:jc w:val="center"/>
            </w:pPr>
            <w:r w:rsidRPr="00FC6D76">
              <w:t>5,410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1C644A4" w14:textId="320078C8" w:rsidR="00953FF1" w:rsidRPr="00FC6D76" w:rsidRDefault="00953FF1" w:rsidP="00953FF1">
            <w:pPr>
              <w:jc w:val="center"/>
            </w:pPr>
            <w:r w:rsidRPr="00FC6D76">
              <w:t>5,309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441DAC" w14:textId="38B4DFA4" w:rsidR="00953FF1" w:rsidRPr="00FC6D76" w:rsidRDefault="00D41527" w:rsidP="00953FF1">
            <w:pPr>
              <w:jc w:val="center"/>
            </w:pPr>
            <w:r w:rsidRPr="00FC6D76">
              <w:t>5,</w:t>
            </w:r>
            <w:r w:rsidR="00BE44C6">
              <w:t>517</w:t>
            </w:r>
          </w:p>
        </w:tc>
        <w:tc>
          <w:tcPr>
            <w:tcW w:w="0" w:type="auto"/>
            <w:vAlign w:val="center"/>
            <w:hideMark/>
          </w:tcPr>
          <w:p w14:paraId="26331E03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131A5B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:rsidRPr="00FC6D76" w14:paraId="2979C33B" w14:textId="77777777" w:rsidTr="00FC6D76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EDB939B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% Active Members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67BF" w14:textId="3BDF8943" w:rsidR="00953FF1" w:rsidRPr="00FC6D76" w:rsidRDefault="00953FF1" w:rsidP="00953FF1">
            <w:pPr>
              <w:jc w:val="center"/>
            </w:pPr>
            <w:r w:rsidRPr="00FC6D76">
              <w:t>29.7%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ACAFA" w14:textId="2D1A96C2" w:rsidR="00953FF1" w:rsidRPr="00FC6D76" w:rsidRDefault="00953FF1" w:rsidP="00953FF1">
            <w:pPr>
              <w:jc w:val="center"/>
            </w:pPr>
            <w:r w:rsidRPr="00FC6D76">
              <w:t>29.3%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A252" w14:textId="751E7AD8" w:rsidR="00953FF1" w:rsidRPr="00FC6D76" w:rsidRDefault="00953FF1" w:rsidP="00953FF1">
            <w:pPr>
              <w:jc w:val="center"/>
            </w:pPr>
            <w:r w:rsidRPr="00FC6D76">
              <w:t>28.6%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2B43" w14:textId="22D4B9D5" w:rsidR="00953FF1" w:rsidRPr="00FC6D76" w:rsidRDefault="00D41527" w:rsidP="00953FF1">
            <w:pPr>
              <w:jc w:val="center"/>
            </w:pPr>
            <w:r w:rsidRPr="00FC6D76">
              <w:t>2</w:t>
            </w:r>
            <w:r w:rsidR="004B2C2F">
              <w:t>9.</w:t>
            </w:r>
            <w:r w:rsidR="00BE44C6">
              <w:t>19</w:t>
            </w:r>
            <w:r w:rsidRPr="00FC6D76">
              <w:t>%</w:t>
            </w:r>
          </w:p>
        </w:tc>
        <w:tc>
          <w:tcPr>
            <w:tcW w:w="0" w:type="auto"/>
            <w:vAlign w:val="center"/>
            <w:hideMark/>
          </w:tcPr>
          <w:p w14:paraId="1FA96C67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B074B3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14:paraId="790510D5" w14:textId="77777777" w:rsidTr="00FC6D76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F437DDC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2915" w14:textId="1893CA84" w:rsidR="00953FF1" w:rsidRPr="00FC6D76" w:rsidRDefault="00953FF1" w:rsidP="00953FF1">
            <w:pPr>
              <w:jc w:val="center"/>
            </w:pPr>
            <w:r w:rsidRPr="00FC6D76">
              <w:t>18,161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4BB09" w14:textId="26360B65" w:rsidR="00953FF1" w:rsidRPr="00FC6D76" w:rsidRDefault="00953FF1" w:rsidP="00953FF1">
            <w:pPr>
              <w:jc w:val="center"/>
            </w:pPr>
            <w:r w:rsidRPr="00FC6D76">
              <w:t>18,451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808C9" w14:textId="3042577E" w:rsidR="00953FF1" w:rsidRPr="00FC6D76" w:rsidRDefault="00953FF1" w:rsidP="00953FF1">
            <w:pPr>
              <w:jc w:val="center"/>
            </w:pPr>
            <w:r w:rsidRPr="00FC6D76">
              <w:t>18,538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C98F" w14:textId="748D14B3" w:rsidR="00953FF1" w:rsidRPr="00FC6D76" w:rsidRDefault="00D41527" w:rsidP="00953FF1">
            <w:pPr>
              <w:jc w:val="center"/>
            </w:pPr>
            <w:r w:rsidRPr="00FC6D76">
              <w:t>18,</w:t>
            </w:r>
            <w:r w:rsidR="00BE44C6">
              <w:t>902</w:t>
            </w:r>
          </w:p>
        </w:tc>
        <w:tc>
          <w:tcPr>
            <w:tcW w:w="0" w:type="auto"/>
            <w:vAlign w:val="center"/>
            <w:hideMark/>
          </w:tcPr>
          <w:p w14:paraId="1D0231D1" w14:textId="77777777" w:rsidR="00953FF1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3DE19C" w14:textId="77777777" w:rsidR="00953FF1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428F9EEB" w14:textId="77777777" w:rsidR="000551DE" w:rsidRDefault="000551DE" w:rsidP="000551DE">
      <w:pPr>
        <w:ind w:left="720"/>
        <w:jc w:val="both"/>
      </w:pPr>
    </w:p>
    <w:p w14:paraId="037FAC82" w14:textId="63BCAEFD" w:rsidR="00BE44C6" w:rsidRDefault="00BE44C6" w:rsidP="003B0BE7">
      <w:pPr>
        <w:numPr>
          <w:ilvl w:val="0"/>
          <w:numId w:val="16"/>
        </w:numPr>
        <w:jc w:val="both"/>
      </w:pPr>
      <w:r>
        <w:t xml:space="preserve">The three yearly “re-enrolment” exercise for members who had previously opted out of the LGPS </w:t>
      </w:r>
      <w:r w:rsidR="00C507F1">
        <w:t xml:space="preserve">is required </w:t>
      </w:r>
      <w:r>
        <w:t>will carried out by LBH in its capacity as a scheme employer</w:t>
      </w:r>
      <w:r w:rsidR="00C507F1">
        <w:t xml:space="preserve"> before 31 July 2022. It is possible that this may lead to an increase in the number of active members reflected in these statistics towards the end of 2022. </w:t>
      </w:r>
    </w:p>
    <w:p w14:paraId="55D23F66" w14:textId="77777777" w:rsidR="00C507F1" w:rsidRDefault="00C507F1" w:rsidP="00C507F1">
      <w:pPr>
        <w:ind w:left="720"/>
        <w:jc w:val="both"/>
      </w:pPr>
    </w:p>
    <w:p w14:paraId="52FAD1B7" w14:textId="77777777" w:rsidR="00BE44C6" w:rsidRPr="00BE44C6" w:rsidRDefault="00BE44C6" w:rsidP="00BE44C6">
      <w:pPr>
        <w:jc w:val="both"/>
        <w:rPr>
          <w:b/>
        </w:rPr>
      </w:pPr>
      <w:r w:rsidRPr="00BE44C6">
        <w:rPr>
          <w:b/>
        </w:rPr>
        <w:t>Requirement to Report Breaches of Law</w:t>
      </w:r>
    </w:p>
    <w:p w14:paraId="3BFE95CF" w14:textId="77777777" w:rsidR="00BE44C6" w:rsidRDefault="00BE44C6" w:rsidP="00BE44C6">
      <w:pPr>
        <w:jc w:val="both"/>
      </w:pPr>
    </w:p>
    <w:p w14:paraId="5A0D62A2" w14:textId="6EA86E8A" w:rsidR="000551DE" w:rsidRDefault="000551DE" w:rsidP="000551DE">
      <w:pPr>
        <w:numPr>
          <w:ilvl w:val="0"/>
          <w:numId w:val="16"/>
        </w:numPr>
        <w:jc w:val="both"/>
      </w:pPr>
      <w:r>
        <w:t>The</w:t>
      </w:r>
      <w:r w:rsidR="00C175FB">
        <w:t xml:space="preserve"> </w:t>
      </w:r>
      <w:r>
        <w:t xml:space="preserve">Pension Board reviewed the breaches in law policy and breaches reporting procedure at its meeting on </w:t>
      </w:r>
      <w:r w:rsidR="00C507F1">
        <w:t>16</w:t>
      </w:r>
      <w:r w:rsidR="00C507F1" w:rsidRPr="00C507F1">
        <w:rPr>
          <w:vertAlign w:val="superscript"/>
        </w:rPr>
        <w:t>th</w:t>
      </w:r>
      <w:r w:rsidR="00C507F1">
        <w:t xml:space="preserve"> December 2021 – the document wil</w:t>
      </w:r>
      <w:r w:rsidR="00C43296">
        <w:t>l</w:t>
      </w:r>
      <w:r w:rsidR="00C507F1">
        <w:t xml:space="preserve"> be submitted for approval by the Pension </w:t>
      </w:r>
      <w:r w:rsidR="006513A6">
        <w:t>F</w:t>
      </w:r>
      <w:r w:rsidR="00C507F1">
        <w:t>und Committee at its meeting on 9</w:t>
      </w:r>
      <w:r w:rsidR="00C507F1" w:rsidRPr="00C507F1">
        <w:rPr>
          <w:vertAlign w:val="superscript"/>
        </w:rPr>
        <w:t>th</w:t>
      </w:r>
      <w:r w:rsidR="00C507F1">
        <w:t xml:space="preserve"> March 2022. </w:t>
      </w:r>
    </w:p>
    <w:p w14:paraId="496812B9" w14:textId="77777777" w:rsidR="000551DE" w:rsidRDefault="000551DE" w:rsidP="000551DE">
      <w:pPr>
        <w:ind w:left="720"/>
        <w:jc w:val="both"/>
      </w:pPr>
    </w:p>
    <w:p w14:paraId="2F623CE9" w14:textId="787BF58F" w:rsidR="000551DE" w:rsidRPr="00FC6D76" w:rsidRDefault="000551DE" w:rsidP="000551DE">
      <w:pPr>
        <w:numPr>
          <w:ilvl w:val="0"/>
          <w:numId w:val="16"/>
        </w:numPr>
        <w:jc w:val="both"/>
      </w:pPr>
      <w:r w:rsidRPr="00FC6D76">
        <w:t>There have been no known breaches of law in the current financial year to date.</w:t>
      </w:r>
    </w:p>
    <w:p w14:paraId="669B835F" w14:textId="77777777" w:rsidR="000551DE" w:rsidRDefault="000551DE" w:rsidP="000551DE">
      <w:pPr>
        <w:pStyle w:val="ListParagraph"/>
      </w:pPr>
    </w:p>
    <w:p w14:paraId="370E51AE" w14:textId="77777777" w:rsidR="000551DE" w:rsidRPr="000551DE" w:rsidRDefault="000551DE" w:rsidP="000551DE">
      <w:pPr>
        <w:rPr>
          <w:b/>
        </w:rPr>
      </w:pPr>
      <w:r w:rsidRPr="000551DE">
        <w:rPr>
          <w:b/>
        </w:rPr>
        <w:t>Internal Disputes Cases and Complaints</w:t>
      </w:r>
    </w:p>
    <w:p w14:paraId="04C076D5" w14:textId="5A402765" w:rsidR="000551DE" w:rsidRDefault="000551DE" w:rsidP="000551DE">
      <w:pPr>
        <w:jc w:val="both"/>
      </w:pPr>
    </w:p>
    <w:p w14:paraId="2989B140" w14:textId="6486D66D" w:rsidR="00C175FB" w:rsidRPr="00FC6D76" w:rsidRDefault="00C175FB" w:rsidP="00066A9F">
      <w:pPr>
        <w:numPr>
          <w:ilvl w:val="0"/>
          <w:numId w:val="16"/>
        </w:numPr>
        <w:jc w:val="both"/>
      </w:pPr>
      <w:r w:rsidRPr="00FC6D76">
        <w:t>No internal disputes or complaints have been raised</w:t>
      </w:r>
      <w:r w:rsidR="00587BBB" w:rsidRPr="00FC6D76">
        <w:t xml:space="preserve"> since the previous report.</w:t>
      </w:r>
    </w:p>
    <w:p w14:paraId="4A1CCCBC" w14:textId="77777777" w:rsidR="00C175FB" w:rsidRDefault="00C175FB" w:rsidP="00C175FB">
      <w:pPr>
        <w:pStyle w:val="ListParagraph"/>
      </w:pPr>
    </w:p>
    <w:p w14:paraId="6E586CA8" w14:textId="0B4C04D8" w:rsidR="004B2C2F" w:rsidRDefault="00587BBB" w:rsidP="00C37ACD">
      <w:pPr>
        <w:numPr>
          <w:ilvl w:val="0"/>
          <w:numId w:val="16"/>
        </w:numPr>
        <w:jc w:val="both"/>
      </w:pPr>
      <w:r>
        <w:t xml:space="preserve">As reported to </w:t>
      </w:r>
      <w:r w:rsidR="002A66B4">
        <w:t xml:space="preserve">previous meetings </w:t>
      </w:r>
      <w:r w:rsidR="004B2C2F">
        <w:t xml:space="preserve">of </w:t>
      </w:r>
      <w:r>
        <w:t>the Board</w:t>
      </w:r>
      <w:r w:rsidR="004B2C2F">
        <w:t>,</w:t>
      </w:r>
      <w:r>
        <w:t xml:space="preserve"> </w:t>
      </w:r>
      <w:r w:rsidR="00C507F1">
        <w:t>three complaints have been referred to the Pensions Ombudsman</w:t>
      </w:r>
      <w:r w:rsidR="006513A6">
        <w:t>.</w:t>
      </w:r>
      <w:r w:rsidR="00C507F1">
        <w:t xml:space="preserve"> </w:t>
      </w:r>
      <w:r w:rsidR="006513A6">
        <w:t>I</w:t>
      </w:r>
      <w:r w:rsidR="00C507F1">
        <w:t>n all three cases, Harrow responded to the Ombudsman within his deadlines – in one case in</w:t>
      </w:r>
      <w:r w:rsidR="00C175FB">
        <w:t xml:space="preserve"> January 2021</w:t>
      </w:r>
      <w:r w:rsidR="00C507F1">
        <w:t xml:space="preserve">, and in the other two, October 2021. </w:t>
      </w:r>
      <w:r w:rsidR="00C175FB">
        <w:t xml:space="preserve"> </w:t>
      </w:r>
      <w:r w:rsidR="00C507F1">
        <w:t>All three</w:t>
      </w:r>
      <w:r w:rsidR="004B2C2F">
        <w:t xml:space="preserve"> cases relate to decisions taken regarding ill health retirement, and the decisions of the Ombudsman are awaited. </w:t>
      </w:r>
    </w:p>
    <w:p w14:paraId="48F876D1" w14:textId="77777777" w:rsidR="004B2C2F" w:rsidRDefault="004B2C2F" w:rsidP="004B2C2F">
      <w:pPr>
        <w:pStyle w:val="ListParagraph"/>
      </w:pPr>
    </w:p>
    <w:p w14:paraId="604F6EF5" w14:textId="2FD205C0" w:rsidR="000551DE" w:rsidRDefault="004B2C2F" w:rsidP="00DD3059">
      <w:pPr>
        <w:numPr>
          <w:ilvl w:val="0"/>
          <w:numId w:val="16"/>
        </w:numPr>
        <w:jc w:val="both"/>
      </w:pPr>
      <w:r>
        <w:t xml:space="preserve">The Pensions Ombudsman has indicated that their office is dealing with a large number of complaints, (most of which are not related to the LGPS) and that it may be “several months” before they write to LBH again. </w:t>
      </w:r>
      <w:r w:rsidR="006513A6">
        <w:t xml:space="preserve">Whilst this situation is unsatisfactory for the three complainants, as indicated above, the delays are not of Harrow’s making. </w:t>
      </w:r>
    </w:p>
    <w:p w14:paraId="0A9197EA" w14:textId="03D0970F" w:rsidR="004B2C2F" w:rsidRDefault="004B2C2F" w:rsidP="004B2C2F">
      <w:pPr>
        <w:ind w:left="720"/>
        <w:jc w:val="both"/>
      </w:pPr>
    </w:p>
    <w:p w14:paraId="743FC7C7" w14:textId="4DE01960" w:rsidR="008655A8" w:rsidRDefault="008655A8" w:rsidP="004B2C2F">
      <w:pPr>
        <w:ind w:left="720"/>
        <w:jc w:val="both"/>
      </w:pPr>
    </w:p>
    <w:p w14:paraId="293A49EC" w14:textId="77777777" w:rsidR="008655A8" w:rsidRDefault="008655A8" w:rsidP="004B2C2F">
      <w:pPr>
        <w:ind w:left="720"/>
        <w:jc w:val="both"/>
      </w:pPr>
    </w:p>
    <w:p w14:paraId="724CCAFE" w14:textId="77777777" w:rsidR="000551DE" w:rsidRPr="000551DE" w:rsidRDefault="000551DE" w:rsidP="000551DE">
      <w:pPr>
        <w:jc w:val="both"/>
        <w:rPr>
          <w:b/>
        </w:rPr>
      </w:pPr>
      <w:r w:rsidRPr="000551DE">
        <w:rPr>
          <w:b/>
        </w:rPr>
        <w:lastRenderedPageBreak/>
        <w:t xml:space="preserve">Payment of Employer Contributions </w:t>
      </w:r>
    </w:p>
    <w:p w14:paraId="357F3D50" w14:textId="77777777" w:rsidR="00BE75CB" w:rsidRDefault="00BE75CB" w:rsidP="000551DE">
      <w:pPr>
        <w:jc w:val="both"/>
      </w:pPr>
    </w:p>
    <w:p w14:paraId="004A0A77" w14:textId="75CC7BB6" w:rsidR="000551DE" w:rsidRPr="00FC6D76" w:rsidRDefault="000551DE" w:rsidP="00BE75CB">
      <w:pPr>
        <w:numPr>
          <w:ilvl w:val="0"/>
          <w:numId w:val="16"/>
        </w:numPr>
        <w:jc w:val="both"/>
      </w:pPr>
      <w:r w:rsidRPr="00FC6D76">
        <w:t>Employer contributions are required to be paid in arrears by the 19</w:t>
      </w:r>
      <w:r w:rsidRPr="00FC6D76">
        <w:rPr>
          <w:vertAlign w:val="superscript"/>
        </w:rPr>
        <w:t>th</w:t>
      </w:r>
      <w:r w:rsidRPr="00FC6D76">
        <w:t xml:space="preserve"> of each month.  All employer contributions </w:t>
      </w:r>
      <w:r w:rsidR="00953FF1" w:rsidRPr="00FC6D76">
        <w:t>have been</w:t>
      </w:r>
      <w:r w:rsidR="00587BBB" w:rsidRPr="00FC6D76">
        <w:t xml:space="preserve"> </w:t>
      </w:r>
      <w:r w:rsidRPr="00FC6D76">
        <w:t>paid on time in</w:t>
      </w:r>
      <w:r w:rsidR="00587BBB" w:rsidRPr="00FC6D76">
        <w:t xml:space="preserve"> 202</w:t>
      </w:r>
      <w:r w:rsidR="00953FF1" w:rsidRPr="00FC6D76">
        <w:t>1-22</w:t>
      </w:r>
      <w:r w:rsidRPr="00FC6D76">
        <w:t xml:space="preserve"> to date. Employers are contacted if payment has not been received by the due date.</w:t>
      </w:r>
    </w:p>
    <w:p w14:paraId="3BFD323D" w14:textId="77777777" w:rsidR="004B2C2F" w:rsidRDefault="004B2C2F" w:rsidP="00443912">
      <w:pPr>
        <w:jc w:val="both"/>
        <w:rPr>
          <w:b/>
          <w:bCs/>
        </w:rPr>
      </w:pPr>
    </w:p>
    <w:p w14:paraId="05C51C20" w14:textId="2F49C451" w:rsidR="00C86C79" w:rsidRDefault="00443912" w:rsidP="00443912">
      <w:pPr>
        <w:jc w:val="both"/>
        <w:rPr>
          <w:b/>
          <w:bCs/>
        </w:rPr>
      </w:pPr>
      <w:r w:rsidRPr="00443912">
        <w:rPr>
          <w:b/>
          <w:bCs/>
        </w:rPr>
        <w:t>Update</w:t>
      </w:r>
      <w:r w:rsidR="00F13423">
        <w:rPr>
          <w:b/>
          <w:bCs/>
        </w:rPr>
        <w:t xml:space="preserve"> on Legislation Changes </w:t>
      </w:r>
    </w:p>
    <w:p w14:paraId="7D4438A1" w14:textId="77777777" w:rsidR="00C86C79" w:rsidRDefault="00C86C79" w:rsidP="00443912">
      <w:pPr>
        <w:jc w:val="both"/>
        <w:rPr>
          <w:b/>
          <w:bCs/>
        </w:rPr>
      </w:pPr>
    </w:p>
    <w:p w14:paraId="46DEF8DE" w14:textId="30575EA6" w:rsidR="00443912" w:rsidRDefault="00F13423" w:rsidP="00443912">
      <w:pPr>
        <w:jc w:val="both"/>
        <w:rPr>
          <w:b/>
          <w:bCs/>
        </w:rPr>
      </w:pPr>
      <w:r w:rsidRPr="00443912">
        <w:rPr>
          <w:b/>
          <w:bCs/>
        </w:rPr>
        <w:t>McCloud</w:t>
      </w:r>
    </w:p>
    <w:p w14:paraId="6179E8E0" w14:textId="77777777" w:rsidR="00443912" w:rsidRPr="00443912" w:rsidRDefault="00443912" w:rsidP="00443912">
      <w:pPr>
        <w:jc w:val="both"/>
        <w:rPr>
          <w:b/>
          <w:bCs/>
        </w:rPr>
      </w:pPr>
    </w:p>
    <w:p w14:paraId="53D08374" w14:textId="273365CD" w:rsidR="00C86C79" w:rsidRPr="00C63471" w:rsidRDefault="004B2C2F" w:rsidP="00C63471">
      <w:pPr>
        <w:numPr>
          <w:ilvl w:val="0"/>
          <w:numId w:val="16"/>
        </w:numPr>
        <w:jc w:val="both"/>
        <w:rPr>
          <w:rFonts w:cs="Arial"/>
          <w:color w:val="333333"/>
          <w:szCs w:val="24"/>
          <w:lang w:eastAsia="en-GB"/>
        </w:rPr>
      </w:pPr>
      <w:r w:rsidRPr="004B2C2F">
        <w:rPr>
          <w:rFonts w:cs="Arial"/>
          <w:szCs w:val="24"/>
        </w:rPr>
        <w:t>As previously reported, f</w:t>
      </w:r>
      <w:r w:rsidR="008A25CA" w:rsidRPr="004B2C2F">
        <w:rPr>
          <w:rFonts w:cs="Arial"/>
          <w:szCs w:val="24"/>
        </w:rPr>
        <w:t xml:space="preserve">ollowing the </w:t>
      </w:r>
      <w:r w:rsidR="00C86C79" w:rsidRPr="004B2C2F">
        <w:rPr>
          <w:rFonts w:cs="Arial"/>
          <w:szCs w:val="24"/>
        </w:rPr>
        <w:t>2020 Consultation, on 13</w:t>
      </w:r>
      <w:r w:rsidR="00C86C79" w:rsidRPr="004B2C2F">
        <w:rPr>
          <w:rFonts w:cs="Arial"/>
          <w:szCs w:val="24"/>
          <w:vertAlign w:val="superscript"/>
        </w:rPr>
        <w:t>th</w:t>
      </w:r>
      <w:r w:rsidR="00C86C79" w:rsidRPr="004B2C2F">
        <w:rPr>
          <w:rFonts w:cs="Arial"/>
          <w:szCs w:val="24"/>
        </w:rPr>
        <w:t xml:space="preserve"> May 2021 the Government announced plans to implement the changes proposed in the consultation from 1 April 2023. </w:t>
      </w:r>
      <w:r w:rsidR="00C86C79" w:rsidRPr="004B2C2F">
        <w:rPr>
          <w:rFonts w:cs="Arial"/>
          <w:color w:val="000000"/>
          <w:szCs w:val="24"/>
          <w:shd w:val="clear" w:color="auto" w:fill="FFFFFF"/>
        </w:rPr>
        <w:t xml:space="preserve">On 19 July 2021, a bill was put before Parliament amending the Public Service Pensions Act 2013 to </w:t>
      </w:r>
      <w:r w:rsidR="00FE5347" w:rsidRPr="004B2C2F">
        <w:rPr>
          <w:rFonts w:cs="Arial"/>
          <w:color w:val="000000"/>
          <w:szCs w:val="24"/>
          <w:shd w:val="clear" w:color="auto" w:fill="FFFFFF"/>
        </w:rPr>
        <w:t xml:space="preserve">rectify </w:t>
      </w:r>
      <w:r w:rsidR="00C86C79" w:rsidRPr="004B2C2F">
        <w:rPr>
          <w:rFonts w:cs="Arial"/>
          <w:color w:val="000000"/>
          <w:szCs w:val="24"/>
          <w:shd w:val="clear" w:color="auto" w:fill="FFFFFF"/>
        </w:rPr>
        <w:t xml:space="preserve">unlawful discrimination in public service pension schemes. </w:t>
      </w:r>
      <w:r w:rsidR="00C507F1">
        <w:rPr>
          <w:rFonts w:cs="Arial"/>
          <w:color w:val="000000"/>
          <w:szCs w:val="24"/>
          <w:shd w:val="clear" w:color="auto" w:fill="FFFFFF"/>
        </w:rPr>
        <w:t>T</w:t>
      </w:r>
      <w:r w:rsidR="008A750D">
        <w:rPr>
          <w:rFonts w:cs="Arial"/>
          <w:color w:val="000000"/>
          <w:szCs w:val="24"/>
          <w:shd w:val="clear" w:color="auto" w:fill="FFFFFF"/>
        </w:rPr>
        <w:t xml:space="preserve">he Bill to amend this Act </w:t>
      </w:r>
      <w:r w:rsidR="00C507F1">
        <w:rPr>
          <w:rFonts w:cs="Arial"/>
          <w:color w:val="000000"/>
          <w:szCs w:val="24"/>
          <w:shd w:val="clear" w:color="auto" w:fill="FFFFFF"/>
        </w:rPr>
        <w:t xml:space="preserve">was </w:t>
      </w:r>
      <w:r w:rsidR="008A750D">
        <w:rPr>
          <w:rFonts w:cs="Arial"/>
          <w:color w:val="000000"/>
          <w:szCs w:val="24"/>
          <w:shd w:val="clear" w:color="auto" w:fill="FFFFFF"/>
        </w:rPr>
        <w:t>progressing through the committee Stage in the House of Commons</w:t>
      </w:r>
      <w:r w:rsidR="00C507F1">
        <w:rPr>
          <w:rFonts w:cs="Arial"/>
          <w:color w:val="000000"/>
          <w:szCs w:val="24"/>
          <w:shd w:val="clear" w:color="auto" w:fill="FFFFFF"/>
        </w:rPr>
        <w:t xml:space="preserve"> during the week beginning 24 </w:t>
      </w:r>
      <w:r w:rsidR="00C63471">
        <w:rPr>
          <w:rFonts w:cs="Arial"/>
          <w:color w:val="000000"/>
          <w:szCs w:val="24"/>
          <w:shd w:val="clear" w:color="auto" w:fill="FFFFFF"/>
        </w:rPr>
        <w:t>J</w:t>
      </w:r>
      <w:r w:rsidR="00C507F1" w:rsidRPr="00C63471">
        <w:rPr>
          <w:rFonts w:cs="Arial"/>
          <w:color w:val="000000"/>
          <w:szCs w:val="24"/>
          <w:shd w:val="clear" w:color="auto" w:fill="FFFFFF"/>
        </w:rPr>
        <w:t>anuary 2022</w:t>
      </w:r>
      <w:r w:rsidR="00C63471" w:rsidRPr="00C63471">
        <w:rPr>
          <w:rFonts w:cs="Arial"/>
          <w:color w:val="000000"/>
          <w:szCs w:val="24"/>
          <w:shd w:val="clear" w:color="auto" w:fill="FFFFFF"/>
        </w:rPr>
        <w:t xml:space="preserve"> and </w:t>
      </w:r>
      <w:r w:rsidR="00C507F1" w:rsidRPr="00C63471">
        <w:rPr>
          <w:rFonts w:cs="Arial"/>
          <w:color w:val="000000"/>
          <w:szCs w:val="24"/>
          <w:shd w:val="clear" w:color="auto" w:fill="FFFFFF"/>
        </w:rPr>
        <w:t xml:space="preserve">the draft </w:t>
      </w:r>
      <w:r w:rsidR="00C86C79" w:rsidRPr="00C63471">
        <w:rPr>
          <w:rFonts w:cs="Arial"/>
          <w:color w:val="000000"/>
          <w:szCs w:val="24"/>
          <w:shd w:val="clear" w:color="auto" w:fill="FFFFFF"/>
        </w:rPr>
        <w:t xml:space="preserve">LGPS regulations for consultation </w:t>
      </w:r>
      <w:r w:rsidRPr="00C63471">
        <w:rPr>
          <w:rFonts w:cs="Arial"/>
          <w:color w:val="000000"/>
          <w:szCs w:val="24"/>
          <w:shd w:val="clear" w:color="auto" w:fill="FFFFFF"/>
        </w:rPr>
        <w:t>are still awaited.</w:t>
      </w:r>
    </w:p>
    <w:p w14:paraId="749FE940" w14:textId="7096DF3F" w:rsidR="00953FF1" w:rsidRPr="00953FF1" w:rsidRDefault="00C86C79" w:rsidP="00C86C79">
      <w:pPr>
        <w:jc w:val="both"/>
        <w:rPr>
          <w:rFonts w:cs="Arial"/>
          <w:color w:val="333333"/>
          <w:szCs w:val="24"/>
          <w:lang w:eastAsia="en-GB"/>
        </w:rPr>
      </w:pPr>
      <w:r w:rsidRPr="00C86C79">
        <w:rPr>
          <w:rFonts w:cs="Arial"/>
          <w:szCs w:val="24"/>
        </w:rPr>
        <w:t xml:space="preserve"> </w:t>
      </w:r>
    </w:p>
    <w:p w14:paraId="19658E5C" w14:textId="01DE3E8B" w:rsidR="002C0432" w:rsidRDefault="008A25CA" w:rsidP="008922F4">
      <w:pPr>
        <w:numPr>
          <w:ilvl w:val="0"/>
          <w:numId w:val="16"/>
        </w:numPr>
        <w:jc w:val="both"/>
      </w:pPr>
      <w:r w:rsidRPr="00C507F1">
        <w:rPr>
          <w:szCs w:val="24"/>
        </w:rPr>
        <w:t>Once there is some certainty regarding the structure of the new</w:t>
      </w:r>
      <w:r>
        <w:t xml:space="preserve"> Regulations, the LGPS software providers will be able to make the necessary changes</w:t>
      </w:r>
      <w:r w:rsidR="00C507F1">
        <w:t xml:space="preserve"> – LBH has progressed the collection of data from employers in preparation for the changes when these are eventually implemented.</w:t>
      </w:r>
    </w:p>
    <w:p w14:paraId="4D2951B1" w14:textId="77777777" w:rsidR="00C86C79" w:rsidRDefault="00C86C79" w:rsidP="00C86C79">
      <w:pPr>
        <w:pStyle w:val="ListParagraph"/>
      </w:pPr>
    </w:p>
    <w:p w14:paraId="24CFA63E" w14:textId="74B7C90E" w:rsidR="00C86C79" w:rsidRPr="00C86C79" w:rsidRDefault="00C86C79" w:rsidP="00C86C79">
      <w:pPr>
        <w:jc w:val="both"/>
        <w:rPr>
          <w:b/>
          <w:bCs/>
        </w:rPr>
      </w:pPr>
      <w:r w:rsidRPr="00C86C79">
        <w:rPr>
          <w:b/>
          <w:bCs/>
        </w:rPr>
        <w:t>Exit cap</w:t>
      </w:r>
    </w:p>
    <w:p w14:paraId="6F4F7758" w14:textId="77777777" w:rsidR="00B77788" w:rsidRDefault="00B77788" w:rsidP="00B77788">
      <w:pPr>
        <w:pStyle w:val="ListParagraph"/>
      </w:pPr>
    </w:p>
    <w:p w14:paraId="5CCAE8BD" w14:textId="2EA18EE2" w:rsidR="00B77788" w:rsidRDefault="00B77788" w:rsidP="00BE75CB">
      <w:pPr>
        <w:numPr>
          <w:ilvl w:val="0"/>
          <w:numId w:val="16"/>
        </w:numPr>
        <w:jc w:val="both"/>
      </w:pPr>
      <w:r w:rsidRPr="00C86C79">
        <w:t xml:space="preserve">As reported </w:t>
      </w:r>
      <w:r w:rsidR="00C86C79">
        <w:t>previously</w:t>
      </w:r>
      <w:r w:rsidRPr="00C86C79">
        <w:t>, the</w:t>
      </w:r>
      <w:r w:rsidR="00FC6D76">
        <w:t xml:space="preserve"> Public Sector</w:t>
      </w:r>
      <w:r w:rsidRPr="00C86C79">
        <w:t xml:space="preserve"> “Exit Cap” Regulations were repealed in February 2021, and </w:t>
      </w:r>
      <w:r w:rsidR="00FC6D76">
        <w:t xml:space="preserve">the Government announced </w:t>
      </w:r>
      <w:r w:rsidRPr="00C86C79">
        <w:t xml:space="preserve">that </w:t>
      </w:r>
      <w:r w:rsidR="00294964" w:rsidRPr="00C86C79">
        <w:t xml:space="preserve">measures to achieve </w:t>
      </w:r>
      <w:r w:rsidR="00FC6D76">
        <w:t xml:space="preserve">the cap’s intended outcomes </w:t>
      </w:r>
      <w:r w:rsidR="00294964" w:rsidRPr="00C86C79">
        <w:t>would be implemented later in 2021. On 28</w:t>
      </w:r>
      <w:r w:rsidR="00294964" w:rsidRPr="00C86C79">
        <w:rPr>
          <w:vertAlign w:val="superscript"/>
        </w:rPr>
        <w:t>th</w:t>
      </w:r>
      <w:r w:rsidR="00294964" w:rsidRPr="00C86C79">
        <w:t xml:space="preserve"> May, </w:t>
      </w:r>
      <w:r w:rsidR="00953FF1" w:rsidRPr="00C86C79">
        <w:t>t</w:t>
      </w:r>
      <w:r w:rsidR="00294964" w:rsidRPr="00C86C79">
        <w:t xml:space="preserve">he Government issued Guidance on “Special Severance payments” to the rest of the public sector. </w:t>
      </w:r>
      <w:r w:rsidR="00C507F1">
        <w:t>The position is unchanged from the last meeting, in that a</w:t>
      </w:r>
      <w:r w:rsidR="00294964" w:rsidRPr="00C86C79">
        <w:t xml:space="preserve"> consultation in respect of the LGPS is </w:t>
      </w:r>
      <w:r w:rsidR="004B2C2F">
        <w:t xml:space="preserve">still </w:t>
      </w:r>
      <w:r w:rsidR="00C86C79">
        <w:t>awaited</w:t>
      </w:r>
      <w:r w:rsidR="00D86EDB">
        <w:t>.</w:t>
      </w:r>
      <w:r w:rsidR="00294964" w:rsidRPr="00C86C79">
        <w:t xml:space="preserve"> </w:t>
      </w:r>
    </w:p>
    <w:p w14:paraId="54FF7117" w14:textId="77777777" w:rsidR="008857AA" w:rsidRDefault="008857AA" w:rsidP="008857AA">
      <w:pPr>
        <w:jc w:val="both"/>
      </w:pPr>
    </w:p>
    <w:p w14:paraId="3F0C3CB9" w14:textId="77777777" w:rsidR="008857AA" w:rsidRDefault="008857AA" w:rsidP="008857AA">
      <w:pPr>
        <w:tabs>
          <w:tab w:val="left" w:pos="2020"/>
        </w:tabs>
        <w:jc w:val="both"/>
        <w:rPr>
          <w:b/>
          <w:bCs/>
        </w:rPr>
      </w:pPr>
      <w:r w:rsidRPr="008857AA">
        <w:rPr>
          <w:b/>
          <w:bCs/>
        </w:rPr>
        <w:t>Other Matters</w:t>
      </w:r>
    </w:p>
    <w:p w14:paraId="4B3A6FDB" w14:textId="77777777" w:rsidR="008857AA" w:rsidRDefault="008857AA" w:rsidP="008857AA">
      <w:pPr>
        <w:tabs>
          <w:tab w:val="left" w:pos="2020"/>
        </w:tabs>
        <w:jc w:val="both"/>
        <w:rPr>
          <w:b/>
          <w:bCs/>
        </w:rPr>
      </w:pPr>
    </w:p>
    <w:p w14:paraId="0F5AAC11" w14:textId="7C4C3752" w:rsidR="008857AA" w:rsidRDefault="008857AA" w:rsidP="008857AA">
      <w:pPr>
        <w:tabs>
          <w:tab w:val="left" w:pos="2020"/>
        </w:tabs>
        <w:jc w:val="both"/>
        <w:rPr>
          <w:b/>
          <w:bCs/>
        </w:rPr>
      </w:pPr>
      <w:r>
        <w:rPr>
          <w:b/>
          <w:bCs/>
        </w:rPr>
        <w:t>Scheme Advisory Board</w:t>
      </w:r>
      <w:r>
        <w:rPr>
          <w:b/>
          <w:bCs/>
        </w:rPr>
        <w:tab/>
        <w:t>(SAB)</w:t>
      </w:r>
    </w:p>
    <w:p w14:paraId="12F32E11" w14:textId="77777777" w:rsidR="008857AA" w:rsidRPr="008857AA" w:rsidRDefault="008857AA" w:rsidP="008857AA">
      <w:pPr>
        <w:tabs>
          <w:tab w:val="left" w:pos="2020"/>
        </w:tabs>
        <w:jc w:val="both"/>
        <w:rPr>
          <w:b/>
          <w:bCs/>
        </w:rPr>
      </w:pPr>
    </w:p>
    <w:p w14:paraId="3BB81892" w14:textId="7FFC9C05" w:rsidR="008A750D" w:rsidRPr="00F479B3" w:rsidRDefault="008857AA" w:rsidP="000D4D46">
      <w:pPr>
        <w:numPr>
          <w:ilvl w:val="0"/>
          <w:numId w:val="16"/>
        </w:numPr>
        <w:jc w:val="both"/>
        <w:rPr>
          <w:szCs w:val="24"/>
        </w:rPr>
      </w:pPr>
      <w:r>
        <w:t xml:space="preserve"> The </w:t>
      </w:r>
      <w:r w:rsidR="00191726">
        <w:t>SAB’s</w:t>
      </w:r>
      <w:r w:rsidR="00F479B3">
        <w:t xml:space="preserve"> most recent meeting was on </w:t>
      </w:r>
      <w:r w:rsidR="00C63471">
        <w:t xml:space="preserve">13 December 2021. </w:t>
      </w:r>
      <w:r w:rsidR="00F479B3">
        <w:t xml:space="preserve">Items </w:t>
      </w:r>
      <w:r w:rsidR="00F479B3" w:rsidRPr="00F479B3">
        <w:rPr>
          <w:szCs w:val="24"/>
        </w:rPr>
        <w:t>considered were</w:t>
      </w:r>
    </w:p>
    <w:p w14:paraId="6C7C7572" w14:textId="570260A3" w:rsidR="00F479B3" w:rsidRDefault="00191726" w:rsidP="0069004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191726">
        <w:rPr>
          <w:sz w:val="24"/>
          <w:szCs w:val="24"/>
        </w:rPr>
        <w:t>Investment cost transparency and reporting thereof</w:t>
      </w:r>
    </w:p>
    <w:p w14:paraId="1CE692B4" w14:textId="461FC271" w:rsidR="00C63471" w:rsidRPr="00C63471" w:rsidRDefault="00C63471" w:rsidP="00C6347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C63471">
        <w:rPr>
          <w:sz w:val="24"/>
          <w:szCs w:val="24"/>
        </w:rPr>
        <w:t xml:space="preserve">A letter from Mr. Michael Lynk, United Nations Special Rapporteur on the Palestinian Territories </w:t>
      </w:r>
      <w:r>
        <w:rPr>
          <w:sz w:val="24"/>
          <w:szCs w:val="24"/>
        </w:rPr>
        <w:t xml:space="preserve">which </w:t>
      </w:r>
      <w:r w:rsidRPr="00C63471">
        <w:rPr>
          <w:sz w:val="24"/>
          <w:szCs w:val="24"/>
        </w:rPr>
        <w:t>asks a number of questions of LGPS funds regarding their investments.</w:t>
      </w:r>
      <w:r>
        <w:rPr>
          <w:sz w:val="24"/>
          <w:szCs w:val="24"/>
        </w:rPr>
        <w:t xml:space="preserve"> The SAB is liaising with LAPFF regarding an appropriate response.</w:t>
      </w:r>
    </w:p>
    <w:p w14:paraId="1DD31845" w14:textId="77777777" w:rsidR="00F479B3" w:rsidRDefault="00F479B3" w:rsidP="00F479B3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F479B3">
        <w:rPr>
          <w:sz w:val="24"/>
          <w:szCs w:val="24"/>
        </w:rPr>
        <w:t>Replacement of the CIPFA Pensions Panel with an SAB “Compliance and Reporting Committee”</w:t>
      </w:r>
      <w:r>
        <w:rPr>
          <w:sz w:val="24"/>
          <w:szCs w:val="24"/>
        </w:rPr>
        <w:t>. One of this Committee’s important functions will be to review, develop and issue guidance on LGPS Funds’ Annual Reports and Accounts.</w:t>
      </w:r>
    </w:p>
    <w:p w14:paraId="67A407DE" w14:textId="5BE99F85" w:rsidR="00191726" w:rsidRDefault="00191726" w:rsidP="00C63471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Investment, </w:t>
      </w:r>
      <w:r w:rsidR="00C63471">
        <w:rPr>
          <w:sz w:val="24"/>
          <w:szCs w:val="24"/>
        </w:rPr>
        <w:t xml:space="preserve">including Cost Management </w:t>
      </w:r>
    </w:p>
    <w:p w14:paraId="2C999A25" w14:textId="77777777" w:rsidR="00C63471" w:rsidRPr="00F479B3" w:rsidRDefault="00C63471" w:rsidP="00C63471">
      <w:pPr>
        <w:pStyle w:val="ListParagraph"/>
        <w:ind w:left="1440"/>
        <w:jc w:val="both"/>
        <w:rPr>
          <w:sz w:val="24"/>
          <w:szCs w:val="24"/>
        </w:rPr>
      </w:pPr>
    </w:p>
    <w:p w14:paraId="36CD153C" w14:textId="07C9EE3D" w:rsidR="00191726" w:rsidRPr="00F34CBC" w:rsidRDefault="00191726" w:rsidP="00191726">
      <w:pPr>
        <w:numPr>
          <w:ilvl w:val="0"/>
          <w:numId w:val="16"/>
        </w:numPr>
        <w:jc w:val="both"/>
        <w:rPr>
          <w:b/>
          <w:bCs/>
        </w:rPr>
      </w:pPr>
      <w:r>
        <w:t xml:space="preserve">The agenda and papers can be found at the following link </w:t>
      </w:r>
      <w:hyperlink r:id="rId8" w:history="1">
        <w:r w:rsidRPr="00A51FE4">
          <w:rPr>
            <w:rStyle w:val="Hyperlink"/>
          </w:rPr>
          <w:t>https://lgpsboard.org/index.php/about-the-board/prev-meetings</w:t>
        </w:r>
      </w:hyperlink>
      <w:r>
        <w:t xml:space="preserve"> </w:t>
      </w:r>
    </w:p>
    <w:p w14:paraId="68C558B9" w14:textId="0D006F73" w:rsidR="00F34CBC" w:rsidRDefault="00F34CBC" w:rsidP="00F34CBC">
      <w:pPr>
        <w:jc w:val="both"/>
      </w:pPr>
    </w:p>
    <w:p w14:paraId="7D46D82D" w14:textId="16F5D797" w:rsidR="00F34CBC" w:rsidRPr="00F34CBC" w:rsidRDefault="00F34CBC" w:rsidP="00F34CBC">
      <w:pPr>
        <w:jc w:val="both"/>
        <w:rPr>
          <w:b/>
          <w:bCs/>
        </w:rPr>
      </w:pPr>
      <w:r w:rsidRPr="00F34CBC">
        <w:rPr>
          <w:b/>
          <w:bCs/>
        </w:rPr>
        <w:t>Levelling Up White Paper</w:t>
      </w:r>
    </w:p>
    <w:p w14:paraId="705C6703" w14:textId="77777777" w:rsidR="00F34CBC" w:rsidRPr="00F34CBC" w:rsidRDefault="00F34CBC" w:rsidP="00F34CBC">
      <w:pPr>
        <w:jc w:val="both"/>
        <w:rPr>
          <w:b/>
          <w:bCs/>
        </w:rPr>
      </w:pPr>
    </w:p>
    <w:p w14:paraId="7E1BB3B4" w14:textId="003ACD00" w:rsidR="00F34CBC" w:rsidRPr="00F34CBC" w:rsidRDefault="00F34CBC" w:rsidP="00191726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The Government published its White Paper on “Levelling Up the UK” on 2 February 2021. Included in the paper is a statement that </w:t>
      </w:r>
      <w:r w:rsidRPr="00F34CBC">
        <w:rPr>
          <w:i/>
          <w:iCs/>
        </w:rPr>
        <w:t>“The UK Government will go further and work with Local Government Pension Funds to publish plans for increasing local investment, including setting an ambition of up to 5% of assets invested in projects which support local areas.”</w:t>
      </w:r>
      <w:r>
        <w:rPr>
          <w:i/>
          <w:iCs/>
        </w:rPr>
        <w:t xml:space="preserve"> </w:t>
      </w:r>
    </w:p>
    <w:p w14:paraId="6AD71E50" w14:textId="77777777" w:rsidR="00F34CBC" w:rsidRPr="00F34CBC" w:rsidRDefault="00F34CBC" w:rsidP="00F34CBC">
      <w:pPr>
        <w:ind w:left="720"/>
        <w:jc w:val="both"/>
        <w:rPr>
          <w:b/>
          <w:bCs/>
        </w:rPr>
      </w:pPr>
    </w:p>
    <w:p w14:paraId="30EFF29A" w14:textId="06924A1C" w:rsidR="00F34CBC" w:rsidRPr="00F34CBC" w:rsidRDefault="00F34CBC" w:rsidP="00191726">
      <w:pPr>
        <w:numPr>
          <w:ilvl w:val="0"/>
          <w:numId w:val="16"/>
        </w:numPr>
        <w:jc w:val="both"/>
      </w:pPr>
      <w:r w:rsidRPr="00F34CBC">
        <w:t xml:space="preserve">It is currently unclear how this will </w:t>
      </w:r>
      <w:r>
        <w:t xml:space="preserve">be </w:t>
      </w:r>
      <w:r w:rsidRPr="00F34CBC">
        <w:t xml:space="preserve">achieved </w:t>
      </w:r>
      <w:r>
        <w:t xml:space="preserve">and over what timescale, although it is thought that a Consultation Paper will be issued later this year, and that this paper may also cover pooling guidance and climate change matters. </w:t>
      </w:r>
    </w:p>
    <w:p w14:paraId="290389EE" w14:textId="77777777" w:rsidR="00191726" w:rsidRDefault="00191726" w:rsidP="00191726">
      <w:pPr>
        <w:ind w:left="360"/>
        <w:jc w:val="both"/>
      </w:pPr>
    </w:p>
    <w:p w14:paraId="1D6D296D" w14:textId="0C95E475" w:rsidR="008857AA" w:rsidRDefault="008857AA" w:rsidP="008857AA">
      <w:pPr>
        <w:jc w:val="both"/>
        <w:rPr>
          <w:b/>
          <w:bCs/>
        </w:rPr>
      </w:pPr>
      <w:r w:rsidRPr="008857AA">
        <w:rPr>
          <w:b/>
          <w:bCs/>
        </w:rPr>
        <w:t>Triennial Valuation 2022</w:t>
      </w:r>
    </w:p>
    <w:p w14:paraId="6D6A1812" w14:textId="77777777" w:rsidR="008857AA" w:rsidRPr="008857AA" w:rsidRDefault="008857AA" w:rsidP="008857AA">
      <w:pPr>
        <w:jc w:val="both"/>
        <w:rPr>
          <w:b/>
          <w:bCs/>
        </w:rPr>
      </w:pPr>
    </w:p>
    <w:p w14:paraId="13C0C2A9" w14:textId="64F87BA0" w:rsidR="00C63471" w:rsidRDefault="00C63471" w:rsidP="00480578">
      <w:pPr>
        <w:numPr>
          <w:ilvl w:val="0"/>
          <w:numId w:val="16"/>
        </w:numPr>
        <w:jc w:val="both"/>
      </w:pPr>
      <w:r>
        <w:t xml:space="preserve"> In preparation for </w:t>
      </w:r>
      <w:r w:rsidR="008857AA">
        <w:t xml:space="preserve">the triennial valuation </w:t>
      </w:r>
      <w:r w:rsidR="008A750D">
        <w:t xml:space="preserve">based upon </w:t>
      </w:r>
      <w:r w:rsidR="008857AA">
        <w:t>the Fund’s position as at 31 March 2022</w:t>
      </w:r>
      <w:r>
        <w:t>, t</w:t>
      </w:r>
      <w:r w:rsidR="008857AA">
        <w:t xml:space="preserve">he Pension Fund Committee received a training presentation from Laura McInroy of Hymans Robertson before its last meeting on 24 November 2021. </w:t>
      </w:r>
      <w:r>
        <w:t xml:space="preserve">Members of the Board were invited to attend, and </w:t>
      </w:r>
      <w:r w:rsidR="008857AA">
        <w:t xml:space="preserve">Laura explained the process and set out an outline timetable for the valuation and reporting of the results. </w:t>
      </w:r>
      <w:r>
        <w:t>This was reported to the Board’s last meeting.</w:t>
      </w:r>
    </w:p>
    <w:p w14:paraId="2BAB85BD" w14:textId="77777777" w:rsidR="00C63471" w:rsidRDefault="00C63471" w:rsidP="00C63471">
      <w:pPr>
        <w:ind w:left="720"/>
        <w:jc w:val="both"/>
      </w:pPr>
    </w:p>
    <w:p w14:paraId="606912B4" w14:textId="77777777" w:rsidR="00C63471" w:rsidRPr="00C63471" w:rsidRDefault="00C63471" w:rsidP="00480578">
      <w:pPr>
        <w:numPr>
          <w:ilvl w:val="0"/>
          <w:numId w:val="16"/>
        </w:numPr>
        <w:jc w:val="both"/>
        <w:rPr>
          <w:szCs w:val="24"/>
        </w:rPr>
      </w:pPr>
      <w:r>
        <w:t xml:space="preserve"> </w:t>
      </w:r>
      <w:r w:rsidRPr="00C63471">
        <w:rPr>
          <w:szCs w:val="24"/>
        </w:rPr>
        <w:t>The activities currently in progress are</w:t>
      </w:r>
    </w:p>
    <w:p w14:paraId="1B2A1426" w14:textId="77777777" w:rsidR="00C63471" w:rsidRPr="00C63471" w:rsidRDefault="00C63471" w:rsidP="00C6347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63471">
        <w:rPr>
          <w:sz w:val="24"/>
          <w:szCs w:val="24"/>
        </w:rPr>
        <w:t xml:space="preserve">initial data cleansing work which began in Q4 of 2021 is continuing </w:t>
      </w:r>
    </w:p>
    <w:p w14:paraId="210D6B87" w14:textId="4874372B" w:rsidR="008857AA" w:rsidRPr="00C63471" w:rsidRDefault="00C63471" w:rsidP="00C6347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63471">
        <w:rPr>
          <w:sz w:val="24"/>
          <w:szCs w:val="24"/>
        </w:rPr>
        <w:t xml:space="preserve">officers are working with Hymans Robertson to consider the key actuarial assumptions </w:t>
      </w:r>
      <w:r w:rsidR="008857AA" w:rsidRPr="00C63471">
        <w:rPr>
          <w:sz w:val="24"/>
          <w:szCs w:val="24"/>
        </w:rPr>
        <w:t xml:space="preserve">(investment returns, inflation and pay growth, mortality) </w:t>
      </w:r>
      <w:r w:rsidRPr="00C63471">
        <w:rPr>
          <w:sz w:val="24"/>
          <w:szCs w:val="24"/>
        </w:rPr>
        <w:t>to be applied in the valuation. These will be reported to the Pension Fund Committee on 9</w:t>
      </w:r>
      <w:r w:rsidRPr="00C63471">
        <w:rPr>
          <w:sz w:val="24"/>
          <w:szCs w:val="24"/>
          <w:vertAlign w:val="superscript"/>
        </w:rPr>
        <w:t>th</w:t>
      </w:r>
      <w:r w:rsidRPr="00C63471">
        <w:rPr>
          <w:sz w:val="24"/>
          <w:szCs w:val="24"/>
        </w:rPr>
        <w:t xml:space="preserve"> March 2022.</w:t>
      </w:r>
    </w:p>
    <w:p w14:paraId="5793400F" w14:textId="77777777" w:rsidR="008A750D" w:rsidRPr="008857AA" w:rsidRDefault="008A750D" w:rsidP="008A750D">
      <w:pPr>
        <w:pStyle w:val="ListParagraph"/>
        <w:ind w:left="1440"/>
        <w:rPr>
          <w:sz w:val="24"/>
          <w:szCs w:val="24"/>
        </w:rPr>
      </w:pPr>
    </w:p>
    <w:p w14:paraId="6B947565" w14:textId="2C75A767" w:rsidR="008857AA" w:rsidRPr="00C86C79" w:rsidRDefault="008A750D" w:rsidP="00480578">
      <w:pPr>
        <w:numPr>
          <w:ilvl w:val="0"/>
          <w:numId w:val="16"/>
        </w:numPr>
        <w:jc w:val="both"/>
      </w:pPr>
      <w:r>
        <w:t>Further reports will be submitted to the Pension Fund Committee and to the Board as the valuation work progresses.</w:t>
      </w:r>
      <w:r w:rsidR="008857AA">
        <w:t xml:space="preserve"> 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56739B89" w14:textId="77777777" w:rsidR="006B5B52" w:rsidRDefault="006B5B52" w:rsidP="006B5B52">
      <w:pPr>
        <w:pStyle w:val="ListParagraph"/>
      </w:pPr>
    </w:p>
    <w:p w14:paraId="6F5E5C69" w14:textId="7206A9D9" w:rsidR="00C305BC" w:rsidRDefault="00FF5D5C" w:rsidP="00A30436">
      <w:pPr>
        <w:numPr>
          <w:ilvl w:val="0"/>
          <w:numId w:val="16"/>
        </w:numPr>
        <w:jc w:val="both"/>
        <w:rPr>
          <w:szCs w:val="24"/>
        </w:rPr>
      </w:pPr>
      <w:r w:rsidRPr="00C305BC">
        <w:rPr>
          <w:szCs w:val="24"/>
        </w:rPr>
        <w:t xml:space="preserve"> </w:t>
      </w:r>
      <w:r w:rsidR="002B4AF4" w:rsidRPr="00C305BC">
        <w:rPr>
          <w:szCs w:val="24"/>
        </w:rPr>
        <w:t>There are no direct legal implications arising from this report.</w:t>
      </w:r>
    </w:p>
    <w:p w14:paraId="04AED2CF" w14:textId="77777777" w:rsidR="00C305BC" w:rsidRDefault="00C305BC" w:rsidP="00C305BC">
      <w:pPr>
        <w:ind w:left="720"/>
        <w:jc w:val="both"/>
        <w:rPr>
          <w:szCs w:val="24"/>
        </w:rPr>
      </w:pPr>
    </w:p>
    <w:p w14:paraId="683836AB" w14:textId="3C32B89A" w:rsidR="00C305BC" w:rsidRDefault="00C305BC" w:rsidP="00C305BC">
      <w:pPr>
        <w:numPr>
          <w:ilvl w:val="0"/>
          <w:numId w:val="16"/>
        </w:numPr>
        <w:jc w:val="both"/>
        <w:rPr>
          <w:szCs w:val="24"/>
        </w:rPr>
      </w:pPr>
      <w:r w:rsidRPr="00C305BC">
        <w:rPr>
          <w:szCs w:val="24"/>
        </w:rPr>
        <w:t>The terms of reference for the Board include</w:t>
      </w:r>
      <w:r w:rsidRPr="00C305BC">
        <w:t xml:space="preserve"> </w:t>
      </w:r>
      <w:r w:rsidRPr="00C305BC">
        <w:rPr>
          <w:szCs w:val="24"/>
        </w:rPr>
        <w:t>assisting the Administering Authority (London Borough of Harrow) as Scheme Manager in ensuring the effective and efficient governance and administration of the Local Government Pension Scheme.</w:t>
      </w:r>
    </w:p>
    <w:p w14:paraId="4AFC3716" w14:textId="77777777" w:rsidR="008655A8" w:rsidRDefault="008655A8" w:rsidP="008655A8">
      <w:pPr>
        <w:pStyle w:val="ListParagraph"/>
        <w:rPr>
          <w:szCs w:val="24"/>
        </w:rPr>
      </w:pPr>
    </w:p>
    <w:p w14:paraId="00E0CBEF" w14:textId="77777777" w:rsidR="008655A8" w:rsidRPr="00C305BC" w:rsidRDefault="008655A8" w:rsidP="008655A8">
      <w:pPr>
        <w:ind w:left="720"/>
        <w:jc w:val="both"/>
        <w:rPr>
          <w:szCs w:val="24"/>
        </w:rPr>
      </w:pPr>
    </w:p>
    <w:p w14:paraId="75BF25CE" w14:textId="77777777" w:rsidR="006B5B52" w:rsidRDefault="006B5B52" w:rsidP="006B5B52">
      <w:pPr>
        <w:pStyle w:val="Heading2"/>
        <w:spacing w:after="240"/>
      </w:pPr>
      <w:r>
        <w:lastRenderedPageBreak/>
        <w:t>Financial Implications</w:t>
      </w:r>
    </w:p>
    <w:p w14:paraId="42CA06A9" w14:textId="735C13E4" w:rsidR="006B5B52" w:rsidRPr="006B5B52" w:rsidRDefault="00FF5D5C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="002B4AF4">
        <w:rPr>
          <w:szCs w:val="24"/>
          <w:lang w:val="en-US"/>
        </w:rPr>
        <w:t xml:space="preserve">re </w:t>
      </w:r>
      <w:r w:rsidR="008857AA">
        <w:rPr>
          <w:szCs w:val="24"/>
          <w:lang w:val="en-US"/>
        </w:rPr>
        <w:t>is</w:t>
      </w:r>
      <w:r w:rsidR="002B4AF4">
        <w:rPr>
          <w:szCs w:val="24"/>
          <w:lang w:val="en-US"/>
        </w:rPr>
        <w:t xml:space="preserve"> a cost of engaging Aquila Heywood to assist in the collection of employer data in readiness to implement fully the Mc</w:t>
      </w:r>
      <w:r w:rsidR="00294964">
        <w:rPr>
          <w:szCs w:val="24"/>
          <w:lang w:val="en-US"/>
        </w:rPr>
        <w:t>C</w:t>
      </w:r>
      <w:r w:rsidR="002B4AF4">
        <w:rPr>
          <w:szCs w:val="24"/>
          <w:lang w:val="en-US"/>
        </w:rPr>
        <w:t xml:space="preserve">loud Judgement when the new Regulations become available. </w:t>
      </w:r>
      <w:r w:rsidR="008A750D">
        <w:rPr>
          <w:szCs w:val="24"/>
          <w:lang w:val="en-US"/>
        </w:rPr>
        <w:t xml:space="preserve">The work to deliver the triennial valuation will result in additional fees payable to </w:t>
      </w:r>
      <w:r w:rsidR="00C305BC">
        <w:rPr>
          <w:szCs w:val="24"/>
          <w:lang w:val="en-US"/>
        </w:rPr>
        <w:t>the Fund’s</w:t>
      </w:r>
      <w:r w:rsidR="008A750D">
        <w:rPr>
          <w:szCs w:val="24"/>
          <w:lang w:val="en-US"/>
        </w:rPr>
        <w:t xml:space="preserve"> actuary, Hymans Robertson. </w:t>
      </w:r>
      <w:r w:rsidR="002B4AF4">
        <w:rPr>
          <w:szCs w:val="24"/>
          <w:lang w:val="en-US"/>
        </w:rPr>
        <w:t>Th</w:t>
      </w:r>
      <w:r w:rsidR="008A750D">
        <w:rPr>
          <w:szCs w:val="24"/>
          <w:lang w:val="en-US"/>
        </w:rPr>
        <w:t>ese</w:t>
      </w:r>
      <w:r w:rsidR="002B4AF4">
        <w:rPr>
          <w:szCs w:val="24"/>
          <w:lang w:val="en-US"/>
        </w:rPr>
        <w:t xml:space="preserve"> cost</w:t>
      </w:r>
      <w:r w:rsidR="008A750D">
        <w:rPr>
          <w:szCs w:val="24"/>
          <w:lang w:val="en-US"/>
        </w:rPr>
        <w:t>s</w:t>
      </w:r>
      <w:r w:rsidR="002B4AF4">
        <w:rPr>
          <w:szCs w:val="24"/>
          <w:lang w:val="en-US"/>
        </w:rPr>
        <w:t xml:space="preserve"> </w:t>
      </w:r>
      <w:r w:rsidR="00F479B3">
        <w:rPr>
          <w:szCs w:val="24"/>
          <w:lang w:val="en-US"/>
        </w:rPr>
        <w:t>are being / will be</w:t>
      </w:r>
      <w:r>
        <w:rPr>
          <w:szCs w:val="24"/>
          <w:lang w:val="en-US"/>
        </w:rPr>
        <w:t xml:space="preserve"> met from the Pension Fund.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4C949C7A" w14:textId="7B435603" w:rsidR="002B4AF4" w:rsidRPr="003F5AF9" w:rsidRDefault="002B4AF4" w:rsidP="002B4AF4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 xml:space="preserve">The Pension Fund’s Risk Register is reviewed regularly by both </w:t>
      </w:r>
      <w:r>
        <w:t xml:space="preserve">the Pension Fund </w:t>
      </w:r>
      <w:r w:rsidRPr="00690F76">
        <w:t xml:space="preserve">Committee and by the Board. </w:t>
      </w:r>
      <w:r>
        <w:t xml:space="preserve">The </w:t>
      </w:r>
      <w:r w:rsidR="00953FF1">
        <w:t xml:space="preserve">next </w:t>
      </w:r>
      <w:r>
        <w:t xml:space="preserve">review </w:t>
      </w:r>
      <w:r w:rsidR="00953FF1">
        <w:t xml:space="preserve">will be considered </w:t>
      </w:r>
      <w:r w:rsidR="004B2C2F">
        <w:t>elsewhere on the agenda for this meeting.</w:t>
      </w:r>
      <w:r>
        <w:t xml:space="preserve"> </w:t>
      </w:r>
    </w:p>
    <w:p w14:paraId="7C43BF78" w14:textId="77777777" w:rsidR="002B4AF4" w:rsidRPr="003F5AF9" w:rsidRDefault="002B4AF4" w:rsidP="002B4AF4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462D9ECD" w14:textId="0DD1887F" w:rsidR="006B5B52" w:rsidRPr="00C55540" w:rsidRDefault="002B4AF4" w:rsidP="002B4AF4">
      <w:pPr>
        <w:numPr>
          <w:ilvl w:val="0"/>
          <w:numId w:val="16"/>
        </w:numPr>
        <w:jc w:val="both"/>
      </w:pPr>
      <w:r w:rsidRPr="00690F76">
        <w:t>There are no specific risk management implications arising from this report</w:t>
      </w:r>
      <w:r>
        <w:t>.</w:t>
      </w:r>
      <w:r w:rsidR="005D3267">
        <w:t xml:space="preserve">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58A054A4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equalities implications arising from this report</w:t>
      </w:r>
      <w:r w:rsidR="002B4AF4">
        <w:rPr>
          <w:szCs w:val="24"/>
        </w:rPr>
        <w:t>, although as the Committee is aware, the Mc</w:t>
      </w:r>
      <w:r w:rsidR="00294964">
        <w:rPr>
          <w:szCs w:val="24"/>
        </w:rPr>
        <w:t>C</w:t>
      </w:r>
      <w:r w:rsidR="002B4AF4">
        <w:rPr>
          <w:szCs w:val="24"/>
        </w:rPr>
        <w:t>loud Judgement ar</w:t>
      </w:r>
      <w:r w:rsidR="00294964">
        <w:rPr>
          <w:szCs w:val="24"/>
        </w:rPr>
        <w:t>ose</w:t>
      </w:r>
      <w:r w:rsidR="002B4AF4">
        <w:rPr>
          <w:szCs w:val="24"/>
        </w:rPr>
        <w:t xml:space="preserve"> f</w:t>
      </w:r>
      <w:r w:rsidR="00294964">
        <w:rPr>
          <w:szCs w:val="24"/>
        </w:rPr>
        <w:t>r</w:t>
      </w:r>
      <w:r w:rsidR="002B4AF4">
        <w:rPr>
          <w:szCs w:val="24"/>
        </w:rPr>
        <w:t>om a Equalities Claim</w:t>
      </w:r>
      <w:r w:rsidR="00294964">
        <w:rPr>
          <w:szCs w:val="24"/>
        </w:rPr>
        <w:t xml:space="preserve"> against another public sector pension scheme</w:t>
      </w:r>
      <w:r w:rsidR="002B4AF4">
        <w:rPr>
          <w:szCs w:val="24"/>
        </w:rPr>
        <w:t>.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35D48DA4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F1A166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94738A">
        <w:rPr>
          <w:b/>
          <w:sz w:val="28"/>
        </w:rPr>
        <w:t>Dawn Calvert</w:t>
      </w:r>
    </w:p>
    <w:p w14:paraId="57640BD9" w14:textId="39987006" w:rsidR="00912904" w:rsidRPr="00A66326" w:rsidRDefault="00912904" w:rsidP="00912904">
      <w:r w:rsidRPr="00A66326">
        <w:t>Signed by the Chief Financial Officer</w:t>
      </w:r>
    </w:p>
    <w:p w14:paraId="5745A2E3" w14:textId="25A85173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4738A">
        <w:rPr>
          <w:b/>
          <w:sz w:val="28"/>
        </w:rPr>
        <w:t>09/02/2022</w:t>
      </w:r>
    </w:p>
    <w:p w14:paraId="2586CC50" w14:textId="69B12C7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C43296">
        <w:rPr>
          <w:b/>
          <w:sz w:val="28"/>
        </w:rPr>
        <w:t xml:space="preserve">Sharon Clarke </w:t>
      </w:r>
    </w:p>
    <w:p w14:paraId="3F58D77A" w14:textId="49A4BCCE" w:rsidR="00912904" w:rsidRPr="00A66326" w:rsidRDefault="00912904" w:rsidP="00912904">
      <w:r w:rsidRPr="00A66326">
        <w:t>Signed on behalf of the Monitoring Officer</w:t>
      </w:r>
    </w:p>
    <w:p w14:paraId="61F8C7E6" w14:textId="382A62A1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C43296">
        <w:rPr>
          <w:b/>
          <w:sz w:val="28"/>
        </w:rPr>
        <w:t>09/02/2022</w:t>
      </w:r>
    </w:p>
    <w:p w14:paraId="41BE0AE1" w14:textId="77777777" w:rsidR="00142155" w:rsidRDefault="004A4A1D" w:rsidP="00912904">
      <w:pPr>
        <w:rPr>
          <w:b/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142155">
        <w:rPr>
          <w:b/>
          <w:sz w:val="28"/>
        </w:rPr>
        <w:t xml:space="preserve">Charlie Stewart </w:t>
      </w:r>
    </w:p>
    <w:p w14:paraId="12E4D11B" w14:textId="5AC48F65" w:rsidR="00912904" w:rsidRPr="00A66326" w:rsidRDefault="00365D29" w:rsidP="00912904">
      <w:r>
        <w:lastRenderedPageBreak/>
        <w:t>Signed</w:t>
      </w:r>
      <w:r w:rsidR="00912904" w:rsidRPr="00A66326">
        <w:t xml:space="preserve"> </w:t>
      </w:r>
      <w:r w:rsidR="002E1AF6">
        <w:t xml:space="preserve">by </w:t>
      </w:r>
      <w:r w:rsidR="00912904" w:rsidRPr="00A66326">
        <w:t>the Corporate Director</w:t>
      </w:r>
    </w:p>
    <w:p w14:paraId="21482980" w14:textId="0D000DCE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142155">
        <w:rPr>
          <w:b/>
          <w:sz w:val="28"/>
        </w:rPr>
        <w:t>09/02/2022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698E6A4D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</w:t>
      </w:r>
      <w:r w:rsidR="00367CCA">
        <w:rPr>
          <w:sz w:val="28"/>
        </w:rPr>
        <w:t>ot Applicable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3D6D20A2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DD6270">
        <w:rPr>
          <w:sz w:val="24"/>
          <w:szCs w:val="24"/>
        </w:rPr>
        <w:t>Manager</w:t>
      </w:r>
    </w:p>
    <w:p w14:paraId="1C4BF2D4" w14:textId="6F1CF3B9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9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44BEEA4E" w14:textId="54691BB4" w:rsidR="00DD6270" w:rsidRPr="00DD6270" w:rsidRDefault="00DD6270" w:rsidP="00C55540">
      <w:pPr>
        <w:pStyle w:val="Infotext"/>
      </w:pPr>
      <w:r w:rsidRPr="00DD6270">
        <w:rPr>
          <w:rStyle w:val="Hyperlink"/>
          <w:color w:val="auto"/>
          <w:sz w:val="24"/>
          <w:szCs w:val="24"/>
          <w:u w:val="none"/>
        </w:rPr>
        <w:t>Telephone 020 8</w:t>
      </w:r>
      <w:r>
        <w:rPr>
          <w:rStyle w:val="Hyperlink"/>
          <w:color w:val="auto"/>
          <w:sz w:val="24"/>
          <w:szCs w:val="24"/>
          <w:u w:val="none"/>
        </w:rPr>
        <w:t>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0A21" w14:textId="77777777" w:rsidR="00676403" w:rsidRDefault="00676403">
      <w:r>
        <w:separator/>
      </w:r>
    </w:p>
  </w:endnote>
  <w:endnote w:type="continuationSeparator" w:id="0">
    <w:p w14:paraId="2E484250" w14:textId="77777777" w:rsidR="00676403" w:rsidRDefault="0067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F066" w14:textId="77777777" w:rsidR="00676403" w:rsidRDefault="00676403">
      <w:r>
        <w:separator/>
      </w:r>
    </w:p>
  </w:footnote>
  <w:footnote w:type="continuationSeparator" w:id="0">
    <w:p w14:paraId="508AA657" w14:textId="77777777" w:rsidR="00676403" w:rsidRDefault="0067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ABC"/>
    <w:multiLevelType w:val="multilevel"/>
    <w:tmpl w:val="52C49370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5" w15:restartNumberingAfterBreak="0">
    <w:nsid w:val="156B67E1"/>
    <w:multiLevelType w:val="hybridMultilevel"/>
    <w:tmpl w:val="E9CA8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E11"/>
    <w:multiLevelType w:val="hybridMultilevel"/>
    <w:tmpl w:val="14EAC4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E4ADE"/>
    <w:multiLevelType w:val="hybridMultilevel"/>
    <w:tmpl w:val="C6CAD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A2288"/>
    <w:multiLevelType w:val="multilevel"/>
    <w:tmpl w:val="C38A025A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260C65"/>
    <w:multiLevelType w:val="hybridMultilevel"/>
    <w:tmpl w:val="41166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078B"/>
    <w:multiLevelType w:val="hybridMultilevel"/>
    <w:tmpl w:val="1AAA5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C4850"/>
    <w:multiLevelType w:val="multilevel"/>
    <w:tmpl w:val="E30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820C00"/>
    <w:multiLevelType w:val="hybridMultilevel"/>
    <w:tmpl w:val="3086E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C208A"/>
    <w:multiLevelType w:val="hybridMultilevel"/>
    <w:tmpl w:val="ED6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96188"/>
    <w:multiLevelType w:val="hybridMultilevel"/>
    <w:tmpl w:val="F56CF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62666"/>
    <w:multiLevelType w:val="hybridMultilevel"/>
    <w:tmpl w:val="9C840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25"/>
  </w:num>
  <w:num w:numId="11">
    <w:abstractNumId w:val="30"/>
  </w:num>
  <w:num w:numId="12">
    <w:abstractNumId w:val="22"/>
  </w:num>
  <w:num w:numId="13">
    <w:abstractNumId w:val="2"/>
  </w:num>
  <w:num w:numId="14">
    <w:abstractNumId w:val="11"/>
  </w:num>
  <w:num w:numId="15">
    <w:abstractNumId w:val="18"/>
  </w:num>
  <w:num w:numId="16">
    <w:abstractNumId w:val="16"/>
  </w:num>
  <w:num w:numId="17">
    <w:abstractNumId w:val="0"/>
  </w:num>
  <w:num w:numId="18">
    <w:abstractNumId w:val="13"/>
  </w:num>
  <w:num w:numId="19">
    <w:abstractNumId w:val="15"/>
  </w:num>
  <w:num w:numId="20">
    <w:abstractNumId w:val="28"/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0"/>
  </w:num>
  <w:num w:numId="25">
    <w:abstractNumId w:val="9"/>
  </w:num>
  <w:num w:numId="26">
    <w:abstractNumId w:val="20"/>
  </w:num>
  <w:num w:numId="27">
    <w:abstractNumId w:val="8"/>
  </w:num>
  <w:num w:numId="28">
    <w:abstractNumId w:val="24"/>
  </w:num>
  <w:num w:numId="29">
    <w:abstractNumId w:val="21"/>
  </w:num>
  <w:num w:numId="30">
    <w:abstractNumId w:val="29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40FD"/>
    <w:rsid w:val="000551DE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42155"/>
    <w:rsid w:val="0018092C"/>
    <w:rsid w:val="00187AE5"/>
    <w:rsid w:val="00191726"/>
    <w:rsid w:val="001939BA"/>
    <w:rsid w:val="001A6EB0"/>
    <w:rsid w:val="001B441D"/>
    <w:rsid w:val="001C5225"/>
    <w:rsid w:val="001C5607"/>
    <w:rsid w:val="001C6F48"/>
    <w:rsid w:val="001D5E83"/>
    <w:rsid w:val="001E0219"/>
    <w:rsid w:val="002076EC"/>
    <w:rsid w:val="00213BE7"/>
    <w:rsid w:val="00231A1D"/>
    <w:rsid w:val="00244120"/>
    <w:rsid w:val="00261C5E"/>
    <w:rsid w:val="00293F9F"/>
    <w:rsid w:val="00294964"/>
    <w:rsid w:val="002A20F3"/>
    <w:rsid w:val="002A2389"/>
    <w:rsid w:val="002A2C3A"/>
    <w:rsid w:val="002A66B4"/>
    <w:rsid w:val="002B4AF4"/>
    <w:rsid w:val="002C0432"/>
    <w:rsid w:val="002C08E2"/>
    <w:rsid w:val="002C1794"/>
    <w:rsid w:val="002D2FC5"/>
    <w:rsid w:val="002E1AF6"/>
    <w:rsid w:val="002E6637"/>
    <w:rsid w:val="002E77E3"/>
    <w:rsid w:val="00332947"/>
    <w:rsid w:val="00333EB4"/>
    <w:rsid w:val="00345915"/>
    <w:rsid w:val="00365D29"/>
    <w:rsid w:val="00367CCA"/>
    <w:rsid w:val="00374F22"/>
    <w:rsid w:val="003A1F10"/>
    <w:rsid w:val="003D271D"/>
    <w:rsid w:val="003D2FFE"/>
    <w:rsid w:val="00400032"/>
    <w:rsid w:val="0042394B"/>
    <w:rsid w:val="00443912"/>
    <w:rsid w:val="00473B08"/>
    <w:rsid w:val="00474B5F"/>
    <w:rsid w:val="004A3CE6"/>
    <w:rsid w:val="004A4A1D"/>
    <w:rsid w:val="004B2C2F"/>
    <w:rsid w:val="004B2C9D"/>
    <w:rsid w:val="004B4A47"/>
    <w:rsid w:val="004C00FA"/>
    <w:rsid w:val="004E667D"/>
    <w:rsid w:val="004E6AF9"/>
    <w:rsid w:val="004F58B2"/>
    <w:rsid w:val="004F7B24"/>
    <w:rsid w:val="005031DF"/>
    <w:rsid w:val="00536C53"/>
    <w:rsid w:val="00567D42"/>
    <w:rsid w:val="00587BBB"/>
    <w:rsid w:val="00597314"/>
    <w:rsid w:val="005A293A"/>
    <w:rsid w:val="005A61AF"/>
    <w:rsid w:val="005D0886"/>
    <w:rsid w:val="005D3267"/>
    <w:rsid w:val="005E384D"/>
    <w:rsid w:val="005F2181"/>
    <w:rsid w:val="005F724B"/>
    <w:rsid w:val="00610ADC"/>
    <w:rsid w:val="00625DFF"/>
    <w:rsid w:val="0063072B"/>
    <w:rsid w:val="00637BD9"/>
    <w:rsid w:val="006513A6"/>
    <w:rsid w:val="00662891"/>
    <w:rsid w:val="006628B7"/>
    <w:rsid w:val="00664B3D"/>
    <w:rsid w:val="00675FCB"/>
    <w:rsid w:val="00676403"/>
    <w:rsid w:val="006B3532"/>
    <w:rsid w:val="006B3942"/>
    <w:rsid w:val="006B5B52"/>
    <w:rsid w:val="006C3914"/>
    <w:rsid w:val="006D3648"/>
    <w:rsid w:val="0074184E"/>
    <w:rsid w:val="00743829"/>
    <w:rsid w:val="00755F8D"/>
    <w:rsid w:val="0075614B"/>
    <w:rsid w:val="0075787A"/>
    <w:rsid w:val="007853C7"/>
    <w:rsid w:val="00796503"/>
    <w:rsid w:val="007A5C98"/>
    <w:rsid w:val="007C335E"/>
    <w:rsid w:val="007D2BDA"/>
    <w:rsid w:val="007D4143"/>
    <w:rsid w:val="007D56C8"/>
    <w:rsid w:val="007E3934"/>
    <w:rsid w:val="007E7303"/>
    <w:rsid w:val="007F1D9E"/>
    <w:rsid w:val="008212A0"/>
    <w:rsid w:val="00837F53"/>
    <w:rsid w:val="008655A8"/>
    <w:rsid w:val="008857AA"/>
    <w:rsid w:val="008A25CA"/>
    <w:rsid w:val="008A6E38"/>
    <w:rsid w:val="008A711D"/>
    <w:rsid w:val="008A750D"/>
    <w:rsid w:val="008D1750"/>
    <w:rsid w:val="008D7800"/>
    <w:rsid w:val="008E0764"/>
    <w:rsid w:val="008E2910"/>
    <w:rsid w:val="008E4913"/>
    <w:rsid w:val="008E6C0C"/>
    <w:rsid w:val="00900464"/>
    <w:rsid w:val="0090100E"/>
    <w:rsid w:val="00912904"/>
    <w:rsid w:val="0093767E"/>
    <w:rsid w:val="0094738A"/>
    <w:rsid w:val="00947816"/>
    <w:rsid w:val="00953FF1"/>
    <w:rsid w:val="00972A02"/>
    <w:rsid w:val="0099517C"/>
    <w:rsid w:val="009A0937"/>
    <w:rsid w:val="009B2ECD"/>
    <w:rsid w:val="009B7914"/>
    <w:rsid w:val="009D6239"/>
    <w:rsid w:val="009F430B"/>
    <w:rsid w:val="00A160B2"/>
    <w:rsid w:val="00A360D6"/>
    <w:rsid w:val="00A566E7"/>
    <w:rsid w:val="00A940D3"/>
    <w:rsid w:val="00A96FCA"/>
    <w:rsid w:val="00AA4BE8"/>
    <w:rsid w:val="00AA5187"/>
    <w:rsid w:val="00AC0AAB"/>
    <w:rsid w:val="00AC7BA9"/>
    <w:rsid w:val="00AD50C6"/>
    <w:rsid w:val="00B0425E"/>
    <w:rsid w:val="00B65B5A"/>
    <w:rsid w:val="00B7289A"/>
    <w:rsid w:val="00B77788"/>
    <w:rsid w:val="00B900E2"/>
    <w:rsid w:val="00B9118E"/>
    <w:rsid w:val="00BD6115"/>
    <w:rsid w:val="00BD684A"/>
    <w:rsid w:val="00BE0E66"/>
    <w:rsid w:val="00BE44C6"/>
    <w:rsid w:val="00BE75CB"/>
    <w:rsid w:val="00BF4BCB"/>
    <w:rsid w:val="00C175FB"/>
    <w:rsid w:val="00C305BC"/>
    <w:rsid w:val="00C32724"/>
    <w:rsid w:val="00C32DAE"/>
    <w:rsid w:val="00C40E24"/>
    <w:rsid w:val="00C43296"/>
    <w:rsid w:val="00C507F1"/>
    <w:rsid w:val="00C55540"/>
    <w:rsid w:val="00C55790"/>
    <w:rsid w:val="00C61B80"/>
    <w:rsid w:val="00C63471"/>
    <w:rsid w:val="00C753BA"/>
    <w:rsid w:val="00C86C79"/>
    <w:rsid w:val="00C92D9A"/>
    <w:rsid w:val="00C96EF5"/>
    <w:rsid w:val="00CD671A"/>
    <w:rsid w:val="00CE4DD2"/>
    <w:rsid w:val="00D25064"/>
    <w:rsid w:val="00D264C1"/>
    <w:rsid w:val="00D32B51"/>
    <w:rsid w:val="00D33D75"/>
    <w:rsid w:val="00D34668"/>
    <w:rsid w:val="00D3740E"/>
    <w:rsid w:val="00D40335"/>
    <w:rsid w:val="00D41527"/>
    <w:rsid w:val="00D52A99"/>
    <w:rsid w:val="00D76680"/>
    <w:rsid w:val="00D82F57"/>
    <w:rsid w:val="00D841A5"/>
    <w:rsid w:val="00D86EDB"/>
    <w:rsid w:val="00D914D2"/>
    <w:rsid w:val="00D93BCE"/>
    <w:rsid w:val="00DA25DB"/>
    <w:rsid w:val="00DB0791"/>
    <w:rsid w:val="00DD0045"/>
    <w:rsid w:val="00DD4251"/>
    <w:rsid w:val="00DD6270"/>
    <w:rsid w:val="00DE34A4"/>
    <w:rsid w:val="00E02B50"/>
    <w:rsid w:val="00E03F11"/>
    <w:rsid w:val="00E06DC8"/>
    <w:rsid w:val="00E220B5"/>
    <w:rsid w:val="00E33D93"/>
    <w:rsid w:val="00E609EF"/>
    <w:rsid w:val="00E726EA"/>
    <w:rsid w:val="00E76ED9"/>
    <w:rsid w:val="00E8515B"/>
    <w:rsid w:val="00E86E38"/>
    <w:rsid w:val="00E90AFF"/>
    <w:rsid w:val="00EC3C2C"/>
    <w:rsid w:val="00EF2F91"/>
    <w:rsid w:val="00F07376"/>
    <w:rsid w:val="00F13423"/>
    <w:rsid w:val="00F33EE3"/>
    <w:rsid w:val="00F34CBC"/>
    <w:rsid w:val="00F4213B"/>
    <w:rsid w:val="00F479B3"/>
    <w:rsid w:val="00F558A6"/>
    <w:rsid w:val="00F849ED"/>
    <w:rsid w:val="00F92398"/>
    <w:rsid w:val="00F93553"/>
    <w:rsid w:val="00FC6D76"/>
    <w:rsid w:val="00FD31A0"/>
    <w:rsid w:val="00FE5347"/>
    <w:rsid w:val="00FF5D5C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3FF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sboard.org/index.php/about-the-board/prev-meet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9443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Kemp</cp:lastModifiedBy>
  <cp:revision>5</cp:revision>
  <cp:lastPrinted>2007-07-12T09:53:00Z</cp:lastPrinted>
  <dcterms:created xsi:type="dcterms:W3CDTF">2022-02-23T12:44:00Z</dcterms:created>
  <dcterms:modified xsi:type="dcterms:W3CDTF">2022-02-23T15:04:00Z</dcterms:modified>
</cp:coreProperties>
</file>